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8E82BB">
      <w:pPr>
        <w:pStyle w:val="3"/>
        <w:bidi w:val="0"/>
        <w:jc w:val="both"/>
        <w:outlineLvl w:val="0"/>
        <w:rPr>
          <w:rFonts w:hint="eastAsia" w:ascii="宋体" w:hAnsi="宋体" w:eastAsia="宋体" w:cs="宋体"/>
          <w:lang w:val="en-US" w:eastAsia="zh-CN"/>
        </w:rPr>
      </w:pPr>
      <w:r>
        <w:rPr>
          <w:rFonts w:hint="eastAsia" w:ascii="宋体" w:hAnsi="宋体" w:eastAsia="宋体" w:cs="宋体"/>
        </w:rPr>
        <w:drawing>
          <wp:anchor distT="0" distB="0" distL="114300" distR="114300" simplePos="0" relativeHeight="251659264" behindDoc="0" locked="0" layoutInCell="1" allowOverlap="1">
            <wp:simplePos x="0" y="0"/>
            <wp:positionH relativeFrom="page">
              <wp:posOffset>2937510</wp:posOffset>
            </wp:positionH>
            <wp:positionV relativeFrom="paragraph">
              <wp:posOffset>55880</wp:posOffset>
            </wp:positionV>
            <wp:extent cx="1450340" cy="481330"/>
            <wp:effectExtent l="0" t="0" r="6985" b="444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50340" cy="481330"/>
                    </a:xfrm>
                    <a:prstGeom prst="rect">
                      <a:avLst/>
                    </a:prstGeom>
                    <a:noFill/>
                  </pic:spPr>
                </pic:pic>
              </a:graphicData>
            </a:graphic>
          </wp:anchor>
        </w:drawing>
      </w:r>
      <w:r>
        <w:rPr>
          <w:rFonts w:hint="eastAsia" w:ascii="宋体" w:hAnsi="宋体" w:eastAsia="宋体" w:cs="宋体"/>
          <w:color w:val="000000" w:themeColor="text1"/>
          <w:sz w:val="28"/>
          <w:szCs w:val="28"/>
          <w:lang w:eastAsia="zh-CN"/>
          <w14:textFill>
            <w14:solidFill>
              <w14:schemeClr w14:val="tx1"/>
            </w14:solidFill>
          </w14:textFill>
        </w:rPr>
        <w:drawing>
          <wp:anchor distT="0" distB="0" distL="114300" distR="114300" simplePos="0" relativeHeight="251696128" behindDoc="1" locked="0" layoutInCell="1" allowOverlap="1">
            <wp:simplePos x="0" y="0"/>
            <wp:positionH relativeFrom="column">
              <wp:posOffset>-2540</wp:posOffset>
            </wp:positionH>
            <wp:positionV relativeFrom="paragraph">
              <wp:posOffset>80645</wp:posOffset>
            </wp:positionV>
            <wp:extent cx="1684655" cy="459105"/>
            <wp:effectExtent l="0" t="0" r="20955" b="26670"/>
            <wp:wrapTight wrapText="bothSides">
              <wp:wrapPolygon>
                <wp:start x="0" y="0"/>
                <wp:lineTo x="0" y="20823"/>
                <wp:lineTo x="21315" y="20823"/>
                <wp:lineTo x="21315" y="0"/>
                <wp:lineTo x="0" y="0"/>
              </wp:wrapPolygon>
            </wp:wrapTight>
            <wp:docPr id="4" name="图片 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1"/>
                    <pic:cNvPicPr>
                      <a:picLocks noChangeAspect="1"/>
                    </pic:cNvPicPr>
                  </pic:nvPicPr>
                  <pic:blipFill>
                    <a:blip r:embed="rId9"/>
                    <a:stretch>
                      <a:fillRect/>
                    </a:stretch>
                  </pic:blipFill>
                  <pic:spPr>
                    <a:xfrm>
                      <a:off x="0" y="0"/>
                      <a:ext cx="1684655" cy="459105"/>
                    </a:xfrm>
                    <a:prstGeom prst="rect">
                      <a:avLst/>
                    </a:prstGeom>
                  </pic:spPr>
                </pic:pic>
              </a:graphicData>
            </a:graphic>
          </wp:anchor>
        </w:drawing>
      </w:r>
    </w:p>
    <w:p w14:paraId="7B78AA69">
      <w:pPr>
        <w:rPr>
          <w:rFonts w:hint="eastAsia" w:ascii="宋体" w:hAnsi="宋体" w:eastAsia="宋体" w:cs="宋体"/>
          <w:lang w:val="en-US" w:eastAsia="zh-CN"/>
        </w:rPr>
      </w:pPr>
    </w:p>
    <w:p w14:paraId="017A3714">
      <w:pPr>
        <w:rPr>
          <w:rFonts w:hint="eastAsia" w:ascii="宋体" w:hAnsi="宋体" w:eastAsia="宋体" w:cs="宋体"/>
          <w:lang w:val="en-US" w:eastAsia="zh-CN"/>
        </w:rPr>
      </w:pPr>
    </w:p>
    <w:p w14:paraId="2FEB7151">
      <w:pPr>
        <w:rPr>
          <w:rFonts w:hint="eastAsia" w:ascii="宋体" w:hAnsi="宋体" w:eastAsia="宋体" w:cs="宋体"/>
          <w:lang w:val="en-US" w:eastAsia="zh-CN"/>
        </w:rPr>
      </w:pPr>
    </w:p>
    <w:p w14:paraId="615A2B0F">
      <w:pPr>
        <w:keepNext w:val="0"/>
        <w:keepLines w:val="0"/>
        <w:pageBreakBefore w:val="0"/>
        <w:widowControl w:val="0"/>
        <w:kinsoku/>
        <w:wordWrap/>
        <w:overflowPunct/>
        <w:topLinePunct w:val="0"/>
        <w:autoSpaceDE w:val="0"/>
        <w:autoSpaceDN w:val="0"/>
        <w:bidi w:val="0"/>
        <w:adjustRightInd/>
        <w:snapToGrid/>
        <w:spacing w:before="0" w:after="0" w:line="480" w:lineRule="auto"/>
        <w:ind w:left="0" w:right="0"/>
        <w:jc w:val="center"/>
        <w:textAlignment w:val="auto"/>
        <w:rPr>
          <w:rFonts w:hint="eastAsia" w:ascii="宋体" w:hAnsi="宋体" w:eastAsia="宋体" w:cs="宋体"/>
          <w:color w:val="000000"/>
          <w:spacing w:val="0"/>
          <w:kern w:val="0"/>
          <w:sz w:val="48"/>
          <w:szCs w:val="22"/>
          <w:lang w:val="en-US" w:eastAsia="zh-CN"/>
        </w:rPr>
      </w:pPr>
    </w:p>
    <w:p w14:paraId="1D66A9BC">
      <w:pPr>
        <w:keepNext w:val="0"/>
        <w:keepLines w:val="0"/>
        <w:pageBreakBefore w:val="0"/>
        <w:widowControl w:val="0"/>
        <w:kinsoku/>
        <w:wordWrap/>
        <w:overflowPunct/>
        <w:topLinePunct w:val="0"/>
        <w:autoSpaceDE w:val="0"/>
        <w:autoSpaceDN w:val="0"/>
        <w:bidi w:val="0"/>
        <w:adjustRightInd/>
        <w:snapToGrid/>
        <w:spacing w:before="157" w:beforeLines="50" w:after="157" w:afterLines="50" w:line="960" w:lineRule="auto"/>
        <w:ind w:left="0" w:right="0"/>
        <w:jc w:val="center"/>
        <w:textAlignment w:val="auto"/>
        <w:rPr>
          <w:rFonts w:hint="eastAsia" w:ascii="宋体" w:hAnsi="宋体" w:eastAsia="宋体" w:cs="宋体"/>
          <w:b/>
          <w:bCs/>
          <w:color w:val="000000"/>
          <w:spacing w:val="0"/>
          <w:kern w:val="0"/>
          <w:sz w:val="72"/>
          <w:szCs w:val="72"/>
          <w:lang w:val="en-US" w:eastAsia="zh-CN"/>
        </w:rPr>
      </w:pPr>
      <w:r>
        <w:rPr>
          <w:rFonts w:hint="eastAsia" w:ascii="宋体" w:hAnsi="宋体" w:eastAsia="宋体" w:cs="宋体"/>
          <w:b/>
          <w:bCs/>
          <w:color w:val="000000"/>
          <w:spacing w:val="0"/>
          <w:kern w:val="0"/>
          <w:sz w:val="72"/>
          <w:szCs w:val="72"/>
          <w:lang w:val="en-US" w:eastAsia="zh-CN"/>
        </w:rPr>
        <w:t>华泰期货MATIC交易终端</w:t>
      </w:r>
    </w:p>
    <w:p w14:paraId="74C9C176">
      <w:pPr>
        <w:keepNext w:val="0"/>
        <w:keepLines w:val="0"/>
        <w:pageBreakBefore w:val="0"/>
        <w:widowControl w:val="0"/>
        <w:kinsoku/>
        <w:wordWrap/>
        <w:overflowPunct/>
        <w:topLinePunct w:val="0"/>
        <w:autoSpaceDE w:val="0"/>
        <w:autoSpaceDN w:val="0"/>
        <w:bidi w:val="0"/>
        <w:adjustRightInd/>
        <w:snapToGrid/>
        <w:spacing w:before="157" w:beforeLines="50" w:after="157" w:afterLines="50" w:line="960" w:lineRule="auto"/>
        <w:ind w:left="0" w:right="0"/>
        <w:jc w:val="center"/>
        <w:textAlignment w:val="auto"/>
        <w:rPr>
          <w:rFonts w:hint="eastAsia" w:ascii="宋体" w:hAnsi="宋体" w:eastAsia="宋体" w:cs="宋体"/>
          <w:b/>
          <w:bCs/>
          <w:color w:val="000000"/>
          <w:spacing w:val="0"/>
          <w:kern w:val="0"/>
          <w:sz w:val="72"/>
          <w:szCs w:val="72"/>
          <w:lang w:val="en-US" w:eastAsia="zh-CN"/>
        </w:rPr>
      </w:pPr>
      <w:r>
        <w:rPr>
          <w:rFonts w:hint="eastAsia" w:ascii="宋体" w:hAnsi="宋体" w:eastAsia="宋体" w:cs="宋体"/>
          <w:b/>
          <w:bCs/>
          <w:color w:val="000000"/>
          <w:spacing w:val="0"/>
          <w:kern w:val="0"/>
          <w:sz w:val="72"/>
          <w:szCs w:val="72"/>
          <w:lang w:val="en-US" w:eastAsia="zh-CN"/>
        </w:rPr>
        <w:t>用户使用手册</w:t>
      </w:r>
    </w:p>
    <w:p w14:paraId="07122C64">
      <w:pPr>
        <w:keepNext w:val="0"/>
        <w:keepLines w:val="0"/>
        <w:pageBreakBefore w:val="0"/>
        <w:widowControl w:val="0"/>
        <w:kinsoku/>
        <w:wordWrap/>
        <w:overflowPunct/>
        <w:topLinePunct w:val="0"/>
        <w:autoSpaceDE w:val="0"/>
        <w:autoSpaceDN w:val="0"/>
        <w:bidi w:val="0"/>
        <w:adjustRightInd/>
        <w:snapToGrid/>
        <w:spacing w:before="0" w:after="0" w:line="480" w:lineRule="auto"/>
        <w:ind w:left="0" w:right="0"/>
        <w:jc w:val="center"/>
        <w:textAlignment w:val="auto"/>
        <w:rPr>
          <w:rFonts w:hint="eastAsia" w:ascii="宋体" w:hAnsi="宋体" w:eastAsia="宋体" w:cs="宋体"/>
          <w:color w:val="000000"/>
          <w:spacing w:val="0"/>
          <w:kern w:val="0"/>
          <w:sz w:val="48"/>
          <w:szCs w:val="22"/>
          <w:lang w:val="en-US" w:eastAsia="zh-CN"/>
        </w:rPr>
      </w:pPr>
    </w:p>
    <w:p w14:paraId="45B0D185">
      <w:pPr>
        <w:keepNext w:val="0"/>
        <w:keepLines w:val="0"/>
        <w:pageBreakBefore w:val="0"/>
        <w:widowControl w:val="0"/>
        <w:kinsoku/>
        <w:wordWrap/>
        <w:overflowPunct/>
        <w:topLinePunct w:val="0"/>
        <w:autoSpaceDE w:val="0"/>
        <w:autoSpaceDN w:val="0"/>
        <w:bidi w:val="0"/>
        <w:adjustRightInd/>
        <w:snapToGrid/>
        <w:spacing w:before="0" w:after="0" w:line="480" w:lineRule="auto"/>
        <w:ind w:left="0" w:right="0"/>
        <w:jc w:val="right"/>
        <w:textAlignment w:val="auto"/>
        <w:rPr>
          <w:rFonts w:hint="eastAsia" w:ascii="宋体" w:hAnsi="宋体" w:eastAsia="宋体" w:cs="宋体"/>
          <w:color w:val="000000"/>
          <w:spacing w:val="0"/>
          <w:kern w:val="0"/>
          <w:sz w:val="28"/>
          <w:szCs w:val="28"/>
          <w:lang w:val="en-US" w:eastAsia="zh-CN"/>
        </w:rPr>
      </w:pPr>
      <w:r>
        <w:rPr>
          <w:rFonts w:hint="eastAsia" w:ascii="宋体" w:hAnsi="宋体" w:eastAsia="宋体" w:cs="宋体"/>
        </w:rPr>
        <w:drawing>
          <wp:anchor distT="0" distB="0" distL="114300" distR="114300" simplePos="0" relativeHeight="251660288" behindDoc="0" locked="0" layoutInCell="1" allowOverlap="1">
            <wp:simplePos x="0" y="0"/>
            <wp:positionH relativeFrom="page">
              <wp:posOffset>2439670</wp:posOffset>
            </wp:positionH>
            <wp:positionV relativeFrom="page">
              <wp:posOffset>5175885</wp:posOffset>
            </wp:positionV>
            <wp:extent cx="4439285" cy="3076575"/>
            <wp:effectExtent l="0" t="0" r="8255"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439285" cy="3076575"/>
                    </a:xfrm>
                    <a:prstGeom prst="rect">
                      <a:avLst/>
                    </a:prstGeom>
                    <a:noFill/>
                  </pic:spPr>
                </pic:pic>
              </a:graphicData>
            </a:graphic>
          </wp:anchor>
        </w:drawing>
      </w:r>
    </w:p>
    <w:p w14:paraId="7C50B300">
      <w:pPr>
        <w:keepNext w:val="0"/>
        <w:keepLines w:val="0"/>
        <w:pageBreakBefore w:val="0"/>
        <w:widowControl w:val="0"/>
        <w:kinsoku/>
        <w:wordWrap/>
        <w:overflowPunct/>
        <w:topLinePunct w:val="0"/>
        <w:autoSpaceDE w:val="0"/>
        <w:autoSpaceDN w:val="0"/>
        <w:bidi w:val="0"/>
        <w:adjustRightInd/>
        <w:snapToGrid/>
        <w:spacing w:before="0" w:after="0" w:line="480" w:lineRule="auto"/>
        <w:ind w:left="0" w:right="0"/>
        <w:jc w:val="right"/>
        <w:textAlignment w:val="auto"/>
        <w:rPr>
          <w:rFonts w:hint="eastAsia" w:ascii="宋体" w:hAnsi="宋体" w:eastAsia="宋体" w:cs="宋体"/>
          <w:color w:val="000000"/>
          <w:spacing w:val="0"/>
          <w:kern w:val="0"/>
          <w:sz w:val="28"/>
          <w:szCs w:val="28"/>
          <w:lang w:val="en-US" w:eastAsia="zh-CN"/>
        </w:rPr>
      </w:pPr>
    </w:p>
    <w:p w14:paraId="03034001">
      <w:pPr>
        <w:keepNext w:val="0"/>
        <w:keepLines w:val="0"/>
        <w:pageBreakBefore w:val="0"/>
        <w:widowControl w:val="0"/>
        <w:kinsoku/>
        <w:wordWrap/>
        <w:overflowPunct/>
        <w:topLinePunct w:val="0"/>
        <w:autoSpaceDE w:val="0"/>
        <w:autoSpaceDN w:val="0"/>
        <w:bidi w:val="0"/>
        <w:adjustRightInd/>
        <w:snapToGrid/>
        <w:spacing w:before="0" w:after="0" w:line="480" w:lineRule="auto"/>
        <w:ind w:left="0" w:right="0"/>
        <w:jc w:val="right"/>
        <w:textAlignment w:val="auto"/>
        <w:rPr>
          <w:rFonts w:hint="eastAsia" w:ascii="宋体" w:hAnsi="宋体" w:eastAsia="宋体" w:cs="宋体"/>
          <w:color w:val="000000"/>
          <w:spacing w:val="0"/>
          <w:kern w:val="0"/>
          <w:sz w:val="28"/>
          <w:szCs w:val="28"/>
          <w:lang w:val="en-US" w:eastAsia="zh-CN"/>
        </w:rPr>
      </w:pPr>
    </w:p>
    <w:p w14:paraId="3ADFC21F">
      <w:pPr>
        <w:keepNext w:val="0"/>
        <w:keepLines w:val="0"/>
        <w:pageBreakBefore w:val="0"/>
        <w:widowControl w:val="0"/>
        <w:kinsoku/>
        <w:wordWrap/>
        <w:overflowPunct/>
        <w:topLinePunct w:val="0"/>
        <w:autoSpaceDE w:val="0"/>
        <w:autoSpaceDN w:val="0"/>
        <w:bidi w:val="0"/>
        <w:adjustRightInd/>
        <w:snapToGrid/>
        <w:spacing w:before="0" w:after="0" w:line="480" w:lineRule="auto"/>
        <w:ind w:left="0" w:right="0"/>
        <w:jc w:val="right"/>
        <w:textAlignment w:val="auto"/>
        <w:rPr>
          <w:rFonts w:hint="eastAsia" w:ascii="宋体" w:hAnsi="宋体" w:eastAsia="宋体" w:cs="宋体"/>
          <w:color w:val="000000"/>
          <w:spacing w:val="0"/>
          <w:kern w:val="0"/>
          <w:sz w:val="28"/>
          <w:szCs w:val="28"/>
          <w:lang w:val="en-US" w:eastAsia="zh-CN"/>
        </w:rPr>
      </w:pPr>
    </w:p>
    <w:p w14:paraId="53FF2726">
      <w:pPr>
        <w:keepNext w:val="0"/>
        <w:keepLines w:val="0"/>
        <w:pageBreakBefore w:val="0"/>
        <w:widowControl w:val="0"/>
        <w:kinsoku/>
        <w:wordWrap/>
        <w:overflowPunct/>
        <w:topLinePunct w:val="0"/>
        <w:autoSpaceDE w:val="0"/>
        <w:autoSpaceDN w:val="0"/>
        <w:bidi w:val="0"/>
        <w:adjustRightInd/>
        <w:snapToGrid/>
        <w:spacing w:before="0" w:after="0" w:line="480" w:lineRule="auto"/>
        <w:ind w:left="0" w:right="0"/>
        <w:jc w:val="right"/>
        <w:textAlignment w:val="auto"/>
        <w:rPr>
          <w:rFonts w:hint="eastAsia" w:ascii="宋体" w:hAnsi="宋体" w:eastAsia="宋体" w:cs="宋体"/>
          <w:color w:val="000000"/>
          <w:spacing w:val="0"/>
          <w:kern w:val="0"/>
          <w:sz w:val="28"/>
          <w:szCs w:val="28"/>
          <w:lang w:val="en-US" w:eastAsia="zh-CN"/>
        </w:rPr>
      </w:pPr>
    </w:p>
    <w:p w14:paraId="6314348B">
      <w:pPr>
        <w:keepNext w:val="0"/>
        <w:keepLines w:val="0"/>
        <w:pageBreakBefore w:val="0"/>
        <w:widowControl w:val="0"/>
        <w:kinsoku/>
        <w:wordWrap/>
        <w:overflowPunct/>
        <w:topLinePunct w:val="0"/>
        <w:autoSpaceDE w:val="0"/>
        <w:autoSpaceDN w:val="0"/>
        <w:bidi w:val="0"/>
        <w:adjustRightInd/>
        <w:snapToGrid/>
        <w:spacing w:before="0" w:after="0" w:line="480" w:lineRule="auto"/>
        <w:ind w:left="0" w:right="0"/>
        <w:jc w:val="right"/>
        <w:textAlignment w:val="auto"/>
        <w:rPr>
          <w:rFonts w:hint="eastAsia" w:ascii="宋体" w:hAnsi="宋体" w:eastAsia="宋体" w:cs="宋体"/>
          <w:color w:val="000000"/>
          <w:spacing w:val="0"/>
          <w:kern w:val="0"/>
          <w:sz w:val="28"/>
          <w:szCs w:val="28"/>
          <w:lang w:val="en-US" w:eastAsia="zh-CN"/>
        </w:rPr>
      </w:pPr>
    </w:p>
    <w:p w14:paraId="313558CE">
      <w:pPr>
        <w:keepNext w:val="0"/>
        <w:keepLines w:val="0"/>
        <w:pageBreakBefore w:val="0"/>
        <w:widowControl w:val="0"/>
        <w:kinsoku/>
        <w:wordWrap/>
        <w:overflowPunct/>
        <w:topLinePunct w:val="0"/>
        <w:autoSpaceDE w:val="0"/>
        <w:autoSpaceDN w:val="0"/>
        <w:bidi w:val="0"/>
        <w:adjustRightInd/>
        <w:snapToGrid/>
        <w:spacing w:before="0" w:after="0" w:line="480" w:lineRule="auto"/>
        <w:ind w:left="0" w:right="0"/>
        <w:jc w:val="right"/>
        <w:textAlignment w:val="auto"/>
        <w:rPr>
          <w:rFonts w:hint="eastAsia" w:ascii="宋体" w:hAnsi="宋体" w:eastAsia="宋体" w:cs="宋体"/>
          <w:color w:val="000000"/>
          <w:spacing w:val="0"/>
          <w:kern w:val="0"/>
          <w:sz w:val="28"/>
          <w:szCs w:val="28"/>
          <w:lang w:val="en-US" w:eastAsia="zh-CN"/>
        </w:rPr>
      </w:pPr>
    </w:p>
    <w:p w14:paraId="085196C7">
      <w:pPr>
        <w:keepNext w:val="0"/>
        <w:keepLines w:val="0"/>
        <w:pageBreakBefore w:val="0"/>
        <w:widowControl w:val="0"/>
        <w:kinsoku/>
        <w:wordWrap/>
        <w:overflowPunct/>
        <w:topLinePunct w:val="0"/>
        <w:autoSpaceDE w:val="0"/>
        <w:autoSpaceDN w:val="0"/>
        <w:bidi w:val="0"/>
        <w:adjustRightInd/>
        <w:snapToGrid/>
        <w:spacing w:before="0" w:after="0" w:line="480" w:lineRule="auto"/>
        <w:ind w:left="0" w:right="0"/>
        <w:jc w:val="right"/>
        <w:textAlignment w:val="auto"/>
        <w:rPr>
          <w:rFonts w:hint="eastAsia" w:ascii="宋体" w:hAnsi="宋体" w:eastAsia="宋体" w:cs="宋体"/>
          <w:color w:val="000000"/>
          <w:spacing w:val="0"/>
          <w:kern w:val="0"/>
          <w:sz w:val="28"/>
          <w:szCs w:val="28"/>
          <w:lang w:val="en-US" w:eastAsia="zh-CN"/>
        </w:rPr>
      </w:pPr>
    </w:p>
    <w:p w14:paraId="535D2AA2">
      <w:pPr>
        <w:keepNext w:val="0"/>
        <w:keepLines w:val="0"/>
        <w:pageBreakBefore w:val="0"/>
        <w:widowControl w:val="0"/>
        <w:kinsoku/>
        <w:wordWrap/>
        <w:overflowPunct/>
        <w:topLinePunct w:val="0"/>
        <w:autoSpaceDE w:val="0"/>
        <w:autoSpaceDN w:val="0"/>
        <w:bidi w:val="0"/>
        <w:adjustRightInd/>
        <w:snapToGrid/>
        <w:spacing w:before="0" w:after="0" w:line="480" w:lineRule="auto"/>
        <w:ind w:left="0" w:right="0"/>
        <w:jc w:val="right"/>
        <w:textAlignment w:val="auto"/>
        <w:rPr>
          <w:rFonts w:hint="eastAsia" w:ascii="宋体" w:hAnsi="宋体" w:eastAsia="宋体" w:cs="宋体"/>
          <w:color w:val="000000"/>
          <w:spacing w:val="0"/>
          <w:kern w:val="0"/>
          <w:sz w:val="28"/>
          <w:szCs w:val="28"/>
          <w:lang w:val="en-US" w:eastAsia="zh-CN"/>
        </w:rPr>
      </w:pPr>
    </w:p>
    <w:p w14:paraId="0F82DC1E">
      <w:pPr>
        <w:keepNext w:val="0"/>
        <w:keepLines w:val="0"/>
        <w:pageBreakBefore w:val="0"/>
        <w:widowControl w:val="0"/>
        <w:kinsoku/>
        <w:wordWrap/>
        <w:overflowPunct/>
        <w:topLinePunct w:val="0"/>
        <w:autoSpaceDE w:val="0"/>
        <w:autoSpaceDN w:val="0"/>
        <w:bidi w:val="0"/>
        <w:adjustRightInd/>
        <w:snapToGrid/>
        <w:spacing w:before="0" w:after="0" w:line="480" w:lineRule="auto"/>
        <w:ind w:left="0" w:right="0"/>
        <w:jc w:val="right"/>
        <w:textAlignment w:val="auto"/>
        <w:rPr>
          <w:rFonts w:hint="default" w:ascii="宋体" w:hAnsi="宋体" w:eastAsia="宋体" w:cs="宋体"/>
          <w:b w:val="0"/>
          <w:bCs w:val="0"/>
          <w:color w:val="000000"/>
          <w:spacing w:val="0"/>
          <w:kern w:val="0"/>
          <w:sz w:val="28"/>
          <w:szCs w:val="28"/>
          <w:lang w:val="en-US" w:eastAsia="zh-CN"/>
        </w:rPr>
      </w:pPr>
      <w:r>
        <w:rPr>
          <w:rFonts w:hint="eastAsia" w:ascii="宋体" w:hAnsi="宋体" w:eastAsia="宋体" w:cs="宋体"/>
        </w:rPr>
        <w:drawing>
          <wp:anchor distT="0" distB="0" distL="114300" distR="114300" simplePos="0" relativeHeight="251697152" behindDoc="0" locked="0" layoutInCell="1" allowOverlap="1">
            <wp:simplePos x="0" y="0"/>
            <wp:positionH relativeFrom="page">
              <wp:posOffset>801370</wp:posOffset>
            </wp:positionH>
            <wp:positionV relativeFrom="page">
              <wp:posOffset>4565015</wp:posOffset>
            </wp:positionV>
            <wp:extent cx="2124075" cy="161290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124075" cy="1612900"/>
                    </a:xfrm>
                    <a:prstGeom prst="rect">
                      <a:avLst/>
                    </a:prstGeom>
                    <a:noFill/>
                  </pic:spPr>
                </pic:pic>
              </a:graphicData>
            </a:graphic>
          </wp:anchor>
        </w:drawing>
      </w:r>
      <w:r>
        <w:rPr>
          <w:rFonts w:hint="eastAsia" w:ascii="宋体" w:hAnsi="宋体" w:eastAsia="宋体" w:cs="宋体"/>
          <w:color w:val="000000"/>
          <w:spacing w:val="0"/>
          <w:kern w:val="0"/>
          <w:sz w:val="28"/>
          <w:szCs w:val="28"/>
          <w:lang w:val="en-US" w:eastAsia="zh-CN"/>
        </w:rPr>
        <w:t xml:space="preserve">  </w:t>
      </w:r>
      <w:r>
        <w:rPr>
          <w:rFonts w:hint="eastAsia" w:ascii="宋体" w:hAnsi="宋体" w:eastAsia="宋体" w:cs="宋体"/>
          <w:b w:val="0"/>
          <w:bCs w:val="0"/>
          <w:color w:val="000000"/>
          <w:spacing w:val="0"/>
          <w:kern w:val="0"/>
          <w:sz w:val="28"/>
          <w:szCs w:val="28"/>
          <w:lang w:val="en-US" w:eastAsia="zh-CN"/>
        </w:rPr>
        <w:t>版本号：MATIC_1.6.0</w:t>
      </w:r>
    </w:p>
    <w:p w14:paraId="2619F15E">
      <w:pPr>
        <w:keepNext w:val="0"/>
        <w:keepLines w:val="0"/>
        <w:pageBreakBefore w:val="0"/>
        <w:widowControl w:val="0"/>
        <w:kinsoku/>
        <w:wordWrap/>
        <w:overflowPunct/>
        <w:topLinePunct w:val="0"/>
        <w:autoSpaceDE w:val="0"/>
        <w:autoSpaceDN w:val="0"/>
        <w:bidi w:val="0"/>
        <w:adjustRightInd/>
        <w:snapToGrid/>
        <w:spacing w:before="0" w:after="0" w:line="480" w:lineRule="auto"/>
        <w:ind w:left="0" w:right="0"/>
        <w:jc w:val="center"/>
        <w:textAlignment w:val="auto"/>
        <w:rPr>
          <w:rFonts w:hint="eastAsia" w:ascii="宋体" w:hAnsi="宋体" w:eastAsia="宋体" w:cs="宋体"/>
          <w:b w:val="0"/>
          <w:bCs w:val="0"/>
          <w:color w:val="000000"/>
          <w:spacing w:val="0"/>
          <w:kern w:val="0"/>
          <w:sz w:val="28"/>
          <w:szCs w:val="28"/>
          <w:lang w:val="en-US" w:eastAsia="zh-CN"/>
        </w:rPr>
      </w:pPr>
      <w:r>
        <w:rPr>
          <w:rFonts w:hint="eastAsia" w:ascii="宋体" w:hAnsi="宋体" w:eastAsia="宋体" w:cs="宋体"/>
          <w:b w:val="0"/>
          <w:bCs w:val="0"/>
          <w:color w:val="000000"/>
          <w:spacing w:val="0"/>
          <w:kern w:val="0"/>
          <w:sz w:val="28"/>
          <w:szCs w:val="28"/>
          <w:lang w:val="en-US" w:eastAsia="zh-CN"/>
        </w:rPr>
        <w:t xml:space="preserve">                                   2024年9月25日</w:t>
      </w:r>
      <w:bookmarkStart w:id="78" w:name="_GoBack"/>
      <w:bookmarkEnd w:id="78"/>
    </w:p>
    <w:p w14:paraId="77BA14EC">
      <w:pPr>
        <w:keepNext w:val="0"/>
        <w:keepLines w:val="0"/>
        <w:pageBreakBefore w:val="0"/>
        <w:widowControl w:val="0"/>
        <w:kinsoku/>
        <w:wordWrap/>
        <w:overflowPunct/>
        <w:topLinePunct w:val="0"/>
        <w:autoSpaceDE w:val="0"/>
        <w:autoSpaceDN w:val="0"/>
        <w:bidi w:val="0"/>
        <w:adjustRightInd/>
        <w:snapToGrid/>
        <w:spacing w:before="0" w:after="0" w:line="480" w:lineRule="auto"/>
        <w:ind w:left="0" w:right="0"/>
        <w:jc w:val="center"/>
        <w:textAlignment w:val="auto"/>
        <w:rPr>
          <w:rFonts w:hint="eastAsia" w:ascii="宋体" w:hAnsi="宋体" w:eastAsia="宋体" w:cs="宋体"/>
          <w:color w:val="000000"/>
          <w:spacing w:val="0"/>
          <w:kern w:val="0"/>
          <w:sz w:val="48"/>
          <w:szCs w:val="22"/>
          <w:lang w:val="en-US" w:eastAsia="zh-CN"/>
        </w:rPr>
      </w:pPr>
    </w:p>
    <w:p w14:paraId="0B8E231F">
      <w:pPr>
        <w:keepNext w:val="0"/>
        <w:keepLines w:val="0"/>
        <w:pageBreakBefore w:val="0"/>
        <w:widowControl w:val="0"/>
        <w:kinsoku/>
        <w:wordWrap/>
        <w:overflowPunct/>
        <w:topLinePunct w:val="0"/>
        <w:autoSpaceDE w:val="0"/>
        <w:autoSpaceDN w:val="0"/>
        <w:bidi w:val="0"/>
        <w:adjustRightInd/>
        <w:snapToGrid/>
        <w:spacing w:before="0" w:after="0" w:line="480" w:lineRule="auto"/>
        <w:ind w:left="0" w:right="0"/>
        <w:jc w:val="center"/>
        <w:textAlignment w:val="auto"/>
        <w:rPr>
          <w:rFonts w:hint="eastAsia" w:ascii="宋体" w:hAnsi="宋体" w:eastAsia="宋体" w:cs="宋体"/>
          <w:color w:val="000000"/>
          <w:spacing w:val="0"/>
          <w:kern w:val="0"/>
          <w:sz w:val="48"/>
          <w:szCs w:val="22"/>
          <w:lang w:val="en-US" w:eastAsia="zh-CN"/>
        </w:rPr>
        <w:sectPr>
          <w:headerReference r:id="rId3" w:type="default"/>
          <w:footerReference r:id="rId4" w:type="default"/>
          <w:pgSz w:w="11906" w:h="16838"/>
          <w:pgMar w:top="1440" w:right="1800" w:bottom="1440" w:left="1800" w:header="851" w:footer="992" w:gutter="0"/>
          <w:pgNumType w:fmt="upperRoman"/>
          <w:cols w:space="425" w:num="1"/>
          <w:docGrid w:type="lines" w:linePitch="312" w:charSpace="0"/>
        </w:sectPr>
      </w:pPr>
    </w:p>
    <w:sdt>
      <w:sdtPr>
        <w:rPr>
          <w:rFonts w:hint="eastAsia" w:ascii="宋体" w:hAnsi="宋体" w:eastAsia="宋体" w:cs="宋体"/>
          <w:kern w:val="2"/>
          <w:sz w:val="32"/>
          <w:szCs w:val="32"/>
          <w:lang w:val="en-US" w:eastAsia="zh-CN" w:bidi="ar-SA"/>
        </w:rPr>
        <w:id w:val="147453294"/>
        <w15:color w:val="DBDBDB"/>
        <w:docPartObj>
          <w:docPartGallery w:val="Table of Contents"/>
          <w:docPartUnique/>
        </w:docPartObj>
      </w:sdtPr>
      <w:sdtEndPr>
        <w:rPr>
          <w:rFonts w:hint="eastAsia" w:ascii="宋体" w:hAnsi="宋体" w:eastAsia="宋体" w:cs="宋体"/>
          <w:kern w:val="2"/>
          <w:sz w:val="24"/>
          <w:szCs w:val="24"/>
          <w:lang w:val="en-US" w:eastAsia="zh-CN" w:bidi="ar-SA"/>
        </w:rPr>
      </w:sdtEndPr>
      <w:sdtContent>
        <w:p w14:paraId="1D1A2EAA">
          <w:pPr>
            <w:spacing w:before="0" w:beforeLines="0" w:after="0" w:afterLines="0" w:line="240" w:lineRule="auto"/>
            <w:ind w:left="0" w:leftChars="0" w:right="0" w:rightChars="0" w:firstLine="0" w:firstLineChars="0"/>
            <w:jc w:val="center"/>
            <w:rPr>
              <w:rFonts w:hint="eastAsia" w:ascii="宋体" w:hAnsi="宋体" w:eastAsia="宋体" w:cs="宋体"/>
              <w:b/>
              <w:bCs/>
              <w:sz w:val="32"/>
              <w:szCs w:val="32"/>
            </w:rPr>
          </w:pPr>
          <w:r>
            <w:rPr>
              <w:rFonts w:hint="eastAsia" w:ascii="宋体" w:hAnsi="宋体" w:eastAsia="宋体" w:cs="宋体"/>
              <w:b/>
              <w:bCs/>
              <w:sz w:val="32"/>
              <w:szCs w:val="32"/>
            </w:rPr>
            <w:t>目录</w:t>
          </w:r>
        </w:p>
        <w:p w14:paraId="0D205491">
          <w:pPr>
            <w:pStyle w:val="15"/>
            <w:tabs>
              <w:tab w:val="right" w:leader="dot" w:pos="8306"/>
            </w:tabs>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TOC \o "1-3" \h \u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_Toc24331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30"/>
              <w:lang w:val="en-US" w:eastAsia="zh-CN"/>
            </w:rPr>
            <w:t xml:space="preserve">1. </w:t>
          </w:r>
          <w:r>
            <w:rPr>
              <w:rFonts w:hint="eastAsia" w:ascii="宋体" w:hAnsi="宋体" w:eastAsia="宋体" w:cs="宋体"/>
              <w:szCs w:val="30"/>
              <w:lang w:val="en-US" w:eastAsia="zh-CN"/>
            </w:rPr>
            <w:t>下载</w:t>
          </w:r>
          <w:r>
            <w:tab/>
          </w:r>
          <w:r>
            <w:fldChar w:fldCharType="begin"/>
          </w:r>
          <w:r>
            <w:instrText xml:space="preserve"> PAGEREF _Toc24331 \h </w:instrText>
          </w:r>
          <w:r>
            <w:fldChar w:fldCharType="separate"/>
          </w:r>
          <w:r>
            <w:t>1</w:t>
          </w:r>
          <w:r>
            <w:fldChar w:fldCharType="end"/>
          </w:r>
          <w:r>
            <w:rPr>
              <w:rFonts w:hint="eastAsia" w:ascii="宋体" w:hAnsi="宋体" w:eastAsia="宋体" w:cs="宋体"/>
              <w:kern w:val="2"/>
              <w:szCs w:val="24"/>
              <w:lang w:val="en-US" w:eastAsia="zh-CN" w:bidi="ar-SA"/>
            </w:rPr>
            <w:fldChar w:fldCharType="end"/>
          </w:r>
        </w:p>
        <w:p w14:paraId="0AC5BB23">
          <w:pPr>
            <w:pStyle w:val="15"/>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_Toc7002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30"/>
              <w:lang w:val="en-US" w:eastAsia="zh-CN"/>
            </w:rPr>
            <w:t xml:space="preserve">2. </w:t>
          </w:r>
          <w:r>
            <w:rPr>
              <w:rFonts w:hint="eastAsia" w:ascii="宋体" w:hAnsi="宋体" w:eastAsia="宋体" w:cs="宋体"/>
              <w:szCs w:val="30"/>
              <w:lang w:val="en-US" w:eastAsia="zh-CN"/>
            </w:rPr>
            <w:t>注册登录</w:t>
          </w:r>
          <w:r>
            <w:tab/>
          </w:r>
          <w:r>
            <w:fldChar w:fldCharType="begin"/>
          </w:r>
          <w:r>
            <w:instrText xml:space="preserve"> PAGEREF _Toc7002 \h </w:instrText>
          </w:r>
          <w:r>
            <w:fldChar w:fldCharType="separate"/>
          </w:r>
          <w:r>
            <w:t>2</w:t>
          </w:r>
          <w:r>
            <w:fldChar w:fldCharType="end"/>
          </w:r>
          <w:r>
            <w:rPr>
              <w:rFonts w:hint="eastAsia" w:ascii="宋体" w:hAnsi="宋体" w:eastAsia="宋体" w:cs="宋体"/>
              <w:kern w:val="2"/>
              <w:szCs w:val="24"/>
              <w:lang w:val="en-US" w:eastAsia="zh-CN" w:bidi="ar-SA"/>
            </w:rPr>
            <w:fldChar w:fldCharType="end"/>
          </w:r>
        </w:p>
        <w:p w14:paraId="3BDE15CF">
          <w:pPr>
            <w:pStyle w:val="18"/>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_Toc30967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30"/>
              <w:lang w:val="en-US" w:eastAsia="zh-CN"/>
            </w:rPr>
            <w:t xml:space="preserve">2.1. </w:t>
          </w:r>
          <w:r>
            <w:rPr>
              <w:rFonts w:hint="eastAsia" w:ascii="宋体" w:hAnsi="宋体" w:eastAsia="宋体" w:cs="宋体"/>
              <w:szCs w:val="30"/>
              <w:lang w:val="en-US" w:eastAsia="zh-CN"/>
            </w:rPr>
            <w:t>注册</w:t>
          </w:r>
          <w:r>
            <w:tab/>
          </w:r>
          <w:r>
            <w:fldChar w:fldCharType="begin"/>
          </w:r>
          <w:r>
            <w:instrText xml:space="preserve"> PAGEREF _Toc30967 \h </w:instrText>
          </w:r>
          <w:r>
            <w:fldChar w:fldCharType="separate"/>
          </w:r>
          <w:r>
            <w:t>2</w:t>
          </w:r>
          <w:r>
            <w:fldChar w:fldCharType="end"/>
          </w:r>
          <w:r>
            <w:rPr>
              <w:rFonts w:hint="eastAsia" w:ascii="宋体" w:hAnsi="宋体" w:eastAsia="宋体" w:cs="宋体"/>
              <w:kern w:val="2"/>
              <w:szCs w:val="24"/>
              <w:lang w:val="en-US" w:eastAsia="zh-CN" w:bidi="ar-SA"/>
            </w:rPr>
            <w:fldChar w:fldCharType="end"/>
          </w:r>
        </w:p>
        <w:p w14:paraId="246B78CA">
          <w:pPr>
            <w:pStyle w:val="18"/>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_Toc31984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30"/>
              <w:lang w:val="en-US" w:eastAsia="zh-CN"/>
            </w:rPr>
            <w:t xml:space="preserve">2.2. </w:t>
          </w:r>
          <w:r>
            <w:rPr>
              <w:rFonts w:hint="eastAsia" w:ascii="宋体" w:hAnsi="宋体" w:eastAsia="宋体" w:cs="宋体"/>
              <w:szCs w:val="30"/>
              <w:lang w:val="en-US" w:eastAsia="zh-CN"/>
            </w:rPr>
            <w:t>登录</w:t>
          </w:r>
          <w:r>
            <w:tab/>
          </w:r>
          <w:r>
            <w:fldChar w:fldCharType="begin"/>
          </w:r>
          <w:r>
            <w:instrText xml:space="preserve"> PAGEREF _Toc31984 \h </w:instrText>
          </w:r>
          <w:r>
            <w:fldChar w:fldCharType="separate"/>
          </w:r>
          <w:r>
            <w:t>3</w:t>
          </w:r>
          <w:r>
            <w:fldChar w:fldCharType="end"/>
          </w:r>
          <w:r>
            <w:rPr>
              <w:rFonts w:hint="eastAsia" w:ascii="宋体" w:hAnsi="宋体" w:eastAsia="宋体" w:cs="宋体"/>
              <w:kern w:val="2"/>
              <w:szCs w:val="24"/>
              <w:lang w:val="en-US" w:eastAsia="zh-CN" w:bidi="ar-SA"/>
            </w:rPr>
            <w:fldChar w:fldCharType="end"/>
          </w:r>
        </w:p>
        <w:p w14:paraId="766B0FA5">
          <w:pPr>
            <w:pStyle w:val="18"/>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_Toc23874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30"/>
              <w:lang w:val="en-US" w:eastAsia="zh-CN"/>
            </w:rPr>
            <w:t xml:space="preserve">2.3. </w:t>
          </w:r>
          <w:r>
            <w:rPr>
              <w:rFonts w:hint="eastAsia" w:ascii="宋体" w:hAnsi="宋体" w:eastAsia="宋体" w:cs="宋体"/>
              <w:szCs w:val="30"/>
              <w:lang w:val="en-US" w:eastAsia="zh-CN"/>
            </w:rPr>
            <w:t>忘记密码</w:t>
          </w:r>
          <w:r>
            <w:tab/>
          </w:r>
          <w:r>
            <w:fldChar w:fldCharType="begin"/>
          </w:r>
          <w:r>
            <w:instrText xml:space="preserve"> PAGEREF _Toc23874 \h </w:instrText>
          </w:r>
          <w:r>
            <w:fldChar w:fldCharType="separate"/>
          </w:r>
          <w:r>
            <w:t>3</w:t>
          </w:r>
          <w:r>
            <w:fldChar w:fldCharType="end"/>
          </w:r>
          <w:r>
            <w:rPr>
              <w:rFonts w:hint="eastAsia" w:ascii="宋体" w:hAnsi="宋体" w:eastAsia="宋体" w:cs="宋体"/>
              <w:kern w:val="2"/>
              <w:szCs w:val="24"/>
              <w:lang w:val="en-US" w:eastAsia="zh-CN" w:bidi="ar-SA"/>
            </w:rPr>
            <w:fldChar w:fldCharType="end"/>
          </w:r>
        </w:p>
        <w:p w14:paraId="683D2265">
          <w:pPr>
            <w:pStyle w:val="15"/>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_Toc28549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30"/>
              <w:lang w:val="en-US" w:eastAsia="zh-CN"/>
            </w:rPr>
            <w:t xml:space="preserve">3. </w:t>
          </w:r>
          <w:r>
            <w:rPr>
              <w:rFonts w:hint="eastAsia" w:ascii="宋体" w:hAnsi="宋体" w:eastAsia="宋体" w:cs="宋体"/>
              <w:szCs w:val="30"/>
              <w:lang w:val="en-US" w:eastAsia="zh-CN"/>
            </w:rPr>
            <w:t>首页</w:t>
          </w:r>
          <w:r>
            <w:tab/>
          </w:r>
          <w:r>
            <w:fldChar w:fldCharType="begin"/>
          </w:r>
          <w:r>
            <w:instrText xml:space="preserve"> PAGEREF _Toc28549 \h </w:instrText>
          </w:r>
          <w:r>
            <w:fldChar w:fldCharType="separate"/>
          </w:r>
          <w:r>
            <w:t>4</w:t>
          </w:r>
          <w:r>
            <w:fldChar w:fldCharType="end"/>
          </w:r>
          <w:r>
            <w:rPr>
              <w:rFonts w:hint="eastAsia" w:ascii="宋体" w:hAnsi="宋体" w:eastAsia="宋体" w:cs="宋体"/>
              <w:kern w:val="2"/>
              <w:szCs w:val="24"/>
              <w:lang w:val="en-US" w:eastAsia="zh-CN" w:bidi="ar-SA"/>
            </w:rPr>
            <w:fldChar w:fldCharType="end"/>
          </w:r>
        </w:p>
        <w:p w14:paraId="0D2B43C5">
          <w:pPr>
            <w:pStyle w:val="15"/>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_Toc30533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30"/>
              <w:lang w:val="en-US" w:eastAsia="zh-CN"/>
            </w:rPr>
            <w:t xml:space="preserve">4. </w:t>
          </w:r>
          <w:r>
            <w:rPr>
              <w:rFonts w:hint="eastAsia" w:ascii="宋体" w:hAnsi="宋体" w:eastAsia="宋体" w:cs="宋体"/>
              <w:szCs w:val="30"/>
              <w:lang w:val="en-US" w:eastAsia="zh-CN"/>
            </w:rPr>
            <w:t>交易</w:t>
          </w:r>
          <w:r>
            <w:tab/>
          </w:r>
          <w:r>
            <w:fldChar w:fldCharType="begin"/>
          </w:r>
          <w:r>
            <w:instrText xml:space="preserve"> PAGEREF _Toc30533 \h </w:instrText>
          </w:r>
          <w:r>
            <w:fldChar w:fldCharType="separate"/>
          </w:r>
          <w:r>
            <w:t>4</w:t>
          </w:r>
          <w:r>
            <w:fldChar w:fldCharType="end"/>
          </w:r>
          <w:r>
            <w:rPr>
              <w:rFonts w:hint="eastAsia" w:ascii="宋体" w:hAnsi="宋体" w:eastAsia="宋体" w:cs="宋体"/>
              <w:kern w:val="2"/>
              <w:szCs w:val="24"/>
              <w:lang w:val="en-US" w:eastAsia="zh-CN" w:bidi="ar-SA"/>
            </w:rPr>
            <w:fldChar w:fldCharType="end"/>
          </w:r>
        </w:p>
        <w:p w14:paraId="6673E7A6">
          <w:pPr>
            <w:pStyle w:val="18"/>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_Toc23519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30"/>
              <w:lang w:val="en-US" w:eastAsia="zh-CN"/>
            </w:rPr>
            <w:t xml:space="preserve">4.1. </w:t>
          </w:r>
          <w:r>
            <w:rPr>
              <w:rFonts w:hint="eastAsia" w:ascii="宋体" w:hAnsi="宋体" w:eastAsia="宋体" w:cs="宋体"/>
              <w:szCs w:val="30"/>
              <w:lang w:val="en-US" w:eastAsia="zh-CN"/>
            </w:rPr>
            <w:t>基础交易</w:t>
          </w:r>
          <w:r>
            <w:tab/>
          </w:r>
          <w:r>
            <w:fldChar w:fldCharType="begin"/>
          </w:r>
          <w:r>
            <w:instrText xml:space="preserve"> PAGEREF _Toc23519 \h </w:instrText>
          </w:r>
          <w:r>
            <w:fldChar w:fldCharType="separate"/>
          </w:r>
          <w:r>
            <w:t>5</w:t>
          </w:r>
          <w:r>
            <w:fldChar w:fldCharType="end"/>
          </w:r>
          <w:r>
            <w:rPr>
              <w:rFonts w:hint="eastAsia" w:ascii="宋体" w:hAnsi="宋体" w:eastAsia="宋体" w:cs="宋体"/>
              <w:kern w:val="2"/>
              <w:szCs w:val="24"/>
              <w:lang w:val="en-US" w:eastAsia="zh-CN" w:bidi="ar-SA"/>
            </w:rPr>
            <w:fldChar w:fldCharType="end"/>
          </w:r>
        </w:p>
        <w:p w14:paraId="3C5419CD">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_Toc21551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4.1.1. </w:t>
          </w:r>
          <w:r>
            <w:rPr>
              <w:rFonts w:hint="eastAsia" w:ascii="宋体" w:hAnsi="宋体" w:eastAsia="宋体" w:cs="宋体"/>
              <w:szCs w:val="28"/>
              <w:lang w:val="en-US" w:eastAsia="zh-CN"/>
            </w:rPr>
            <w:t>普通交易</w:t>
          </w:r>
          <w:r>
            <w:tab/>
          </w:r>
          <w:r>
            <w:fldChar w:fldCharType="begin"/>
          </w:r>
          <w:r>
            <w:instrText xml:space="preserve"> PAGEREF _Toc21551 \h </w:instrText>
          </w:r>
          <w:r>
            <w:fldChar w:fldCharType="separate"/>
          </w:r>
          <w:r>
            <w:t>5</w:t>
          </w:r>
          <w:r>
            <w:fldChar w:fldCharType="end"/>
          </w:r>
          <w:r>
            <w:rPr>
              <w:rFonts w:hint="eastAsia" w:ascii="宋体" w:hAnsi="宋体" w:eastAsia="宋体" w:cs="宋体"/>
              <w:kern w:val="2"/>
              <w:szCs w:val="24"/>
              <w:lang w:val="en-US" w:eastAsia="zh-CN" w:bidi="ar-SA"/>
            </w:rPr>
            <w:fldChar w:fldCharType="end"/>
          </w:r>
        </w:p>
        <w:p w14:paraId="160B1DA1">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_Toc27600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4.1.2. </w:t>
          </w:r>
          <w:r>
            <w:rPr>
              <w:rFonts w:hint="eastAsia" w:ascii="宋体" w:hAnsi="宋体" w:eastAsia="宋体" w:cs="宋体"/>
              <w:szCs w:val="28"/>
              <w:lang w:val="en-US" w:eastAsia="zh-CN"/>
            </w:rPr>
            <w:t>增强交易</w:t>
          </w:r>
          <w:r>
            <w:tab/>
          </w:r>
          <w:r>
            <w:fldChar w:fldCharType="begin"/>
          </w:r>
          <w:r>
            <w:instrText xml:space="preserve"> PAGEREF _Toc27600 \h </w:instrText>
          </w:r>
          <w:r>
            <w:fldChar w:fldCharType="separate"/>
          </w:r>
          <w:r>
            <w:t>9</w:t>
          </w:r>
          <w:r>
            <w:fldChar w:fldCharType="end"/>
          </w:r>
          <w:r>
            <w:rPr>
              <w:rFonts w:hint="eastAsia" w:ascii="宋体" w:hAnsi="宋体" w:eastAsia="宋体" w:cs="宋体"/>
              <w:kern w:val="2"/>
              <w:szCs w:val="24"/>
              <w:lang w:val="en-US" w:eastAsia="zh-CN" w:bidi="ar-SA"/>
            </w:rPr>
            <w:fldChar w:fldCharType="end"/>
          </w:r>
        </w:p>
        <w:p w14:paraId="0A7B19A0">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_Toc2671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4.1.3. </w:t>
          </w:r>
          <w:r>
            <w:rPr>
              <w:rFonts w:hint="eastAsia" w:ascii="宋体" w:hAnsi="宋体" w:eastAsia="宋体" w:cs="宋体"/>
              <w:szCs w:val="28"/>
              <w:lang w:val="en-US" w:eastAsia="zh-CN"/>
            </w:rPr>
            <w:t>期权交易</w:t>
          </w:r>
          <w:r>
            <w:tab/>
          </w:r>
          <w:r>
            <w:fldChar w:fldCharType="begin"/>
          </w:r>
          <w:r>
            <w:instrText xml:space="preserve"> PAGEREF _Toc2671 \h </w:instrText>
          </w:r>
          <w:r>
            <w:fldChar w:fldCharType="separate"/>
          </w:r>
          <w:r>
            <w:t>12</w:t>
          </w:r>
          <w:r>
            <w:fldChar w:fldCharType="end"/>
          </w:r>
          <w:r>
            <w:rPr>
              <w:rFonts w:hint="eastAsia" w:ascii="宋体" w:hAnsi="宋体" w:eastAsia="宋体" w:cs="宋体"/>
              <w:kern w:val="2"/>
              <w:szCs w:val="24"/>
              <w:lang w:val="en-US" w:eastAsia="zh-CN" w:bidi="ar-SA"/>
            </w:rPr>
            <w:fldChar w:fldCharType="end"/>
          </w:r>
        </w:p>
        <w:p w14:paraId="4E8F6B65">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_Toc2178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4.1.4. </w:t>
          </w:r>
          <w:r>
            <w:rPr>
              <w:rFonts w:hint="eastAsia" w:ascii="宋体" w:hAnsi="宋体" w:eastAsia="宋体" w:cs="宋体"/>
              <w:szCs w:val="28"/>
              <w:highlight w:val="none"/>
              <w:lang w:val="en-US" w:eastAsia="zh-CN"/>
            </w:rPr>
            <w:t>期货交易</w:t>
          </w:r>
          <w:r>
            <w:tab/>
          </w:r>
          <w:r>
            <w:fldChar w:fldCharType="begin"/>
          </w:r>
          <w:r>
            <w:instrText xml:space="preserve"> PAGEREF _Toc2178 \h </w:instrText>
          </w:r>
          <w:r>
            <w:fldChar w:fldCharType="separate"/>
          </w:r>
          <w:r>
            <w:t>18</w:t>
          </w:r>
          <w:r>
            <w:fldChar w:fldCharType="end"/>
          </w:r>
          <w:r>
            <w:rPr>
              <w:rFonts w:hint="eastAsia" w:ascii="宋体" w:hAnsi="宋体" w:eastAsia="宋体" w:cs="宋体"/>
              <w:kern w:val="2"/>
              <w:szCs w:val="24"/>
              <w:lang w:val="en-US" w:eastAsia="zh-CN" w:bidi="ar-SA"/>
            </w:rPr>
            <w:fldChar w:fldCharType="end"/>
          </w:r>
        </w:p>
        <w:p w14:paraId="7CE44C19">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_Toc8487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4.1.5. </w:t>
          </w:r>
          <w:r>
            <w:rPr>
              <w:rFonts w:hint="eastAsia" w:ascii="宋体" w:hAnsi="宋体" w:eastAsia="宋体" w:cs="宋体"/>
              <w:szCs w:val="28"/>
              <w:lang w:val="en-US" w:eastAsia="zh-CN"/>
            </w:rPr>
            <w:t>期货期权交易</w:t>
          </w:r>
          <w:r>
            <w:tab/>
          </w:r>
          <w:r>
            <w:fldChar w:fldCharType="begin"/>
          </w:r>
          <w:r>
            <w:instrText xml:space="preserve"> PAGEREF _Toc8487 \h </w:instrText>
          </w:r>
          <w:r>
            <w:fldChar w:fldCharType="separate"/>
          </w:r>
          <w:r>
            <w:t>22</w:t>
          </w:r>
          <w:r>
            <w:fldChar w:fldCharType="end"/>
          </w:r>
          <w:r>
            <w:rPr>
              <w:rFonts w:hint="eastAsia" w:ascii="宋体" w:hAnsi="宋体" w:eastAsia="宋体" w:cs="宋体"/>
              <w:kern w:val="2"/>
              <w:szCs w:val="24"/>
              <w:lang w:val="en-US" w:eastAsia="zh-CN" w:bidi="ar-SA"/>
            </w:rPr>
            <w:fldChar w:fldCharType="end"/>
          </w:r>
        </w:p>
        <w:p w14:paraId="1399C6BC">
          <w:pPr>
            <w:pStyle w:val="18"/>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_Toc31884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28"/>
              <w:lang w:val="en-US" w:eastAsia="zh-CN"/>
            </w:rPr>
            <w:t xml:space="preserve">4.2. </w:t>
          </w:r>
          <w:r>
            <w:rPr>
              <w:rFonts w:hint="eastAsia" w:ascii="宋体" w:hAnsi="宋体" w:eastAsia="宋体" w:cs="宋体"/>
              <w:szCs w:val="28"/>
              <w:lang w:val="en-US" w:eastAsia="zh-CN"/>
            </w:rPr>
            <w:t>特色交易</w:t>
          </w:r>
          <w:r>
            <w:tab/>
          </w:r>
          <w:r>
            <w:fldChar w:fldCharType="begin"/>
          </w:r>
          <w:r>
            <w:instrText xml:space="preserve"> PAGEREF _Toc31884 \h </w:instrText>
          </w:r>
          <w:r>
            <w:fldChar w:fldCharType="separate"/>
          </w:r>
          <w:r>
            <w:t>25</w:t>
          </w:r>
          <w:r>
            <w:fldChar w:fldCharType="end"/>
          </w:r>
          <w:r>
            <w:rPr>
              <w:rFonts w:hint="eastAsia" w:ascii="宋体" w:hAnsi="宋体" w:eastAsia="宋体" w:cs="宋体"/>
              <w:kern w:val="2"/>
              <w:szCs w:val="24"/>
              <w:lang w:val="en-US" w:eastAsia="zh-CN" w:bidi="ar-SA"/>
            </w:rPr>
            <w:fldChar w:fldCharType="end"/>
          </w:r>
        </w:p>
        <w:p w14:paraId="1A11C7BE">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_Toc8337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4.2.1. </w:t>
          </w:r>
          <w:r>
            <w:rPr>
              <w:rFonts w:hint="eastAsia" w:ascii="宋体" w:hAnsi="宋体" w:eastAsia="宋体" w:cs="宋体"/>
              <w:szCs w:val="28"/>
              <w:lang w:val="en-US" w:eastAsia="zh-CN"/>
            </w:rPr>
            <w:t>组合交易</w:t>
          </w:r>
          <w:r>
            <w:tab/>
          </w:r>
          <w:r>
            <w:fldChar w:fldCharType="begin"/>
          </w:r>
          <w:r>
            <w:instrText xml:space="preserve"> PAGEREF _Toc8337 \h </w:instrText>
          </w:r>
          <w:r>
            <w:fldChar w:fldCharType="separate"/>
          </w:r>
          <w:r>
            <w:t>25</w:t>
          </w:r>
          <w:r>
            <w:fldChar w:fldCharType="end"/>
          </w:r>
          <w:r>
            <w:rPr>
              <w:rFonts w:hint="eastAsia" w:ascii="宋体" w:hAnsi="宋体" w:eastAsia="宋体" w:cs="宋体"/>
              <w:kern w:val="2"/>
              <w:szCs w:val="24"/>
              <w:lang w:val="en-US" w:eastAsia="zh-CN" w:bidi="ar-SA"/>
            </w:rPr>
            <w:fldChar w:fldCharType="end"/>
          </w:r>
        </w:p>
        <w:p w14:paraId="7A8ECC3B">
          <w:pPr>
            <w:pStyle w:val="18"/>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_Toc24406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28"/>
              <w:lang w:val="en-US" w:eastAsia="zh-CN"/>
            </w:rPr>
            <w:t xml:space="preserve">4.3. </w:t>
          </w:r>
          <w:r>
            <w:rPr>
              <w:rFonts w:hint="eastAsia" w:ascii="宋体" w:hAnsi="宋体" w:eastAsia="宋体" w:cs="宋体"/>
              <w:szCs w:val="28"/>
              <w:lang w:val="en-US" w:eastAsia="zh-CN"/>
            </w:rPr>
            <w:t>套利交易</w:t>
          </w:r>
          <w:r>
            <w:tab/>
          </w:r>
          <w:r>
            <w:fldChar w:fldCharType="begin"/>
          </w:r>
          <w:r>
            <w:instrText xml:space="preserve"> PAGEREF _Toc24406 \h </w:instrText>
          </w:r>
          <w:r>
            <w:fldChar w:fldCharType="separate"/>
          </w:r>
          <w:r>
            <w:t>36</w:t>
          </w:r>
          <w:r>
            <w:fldChar w:fldCharType="end"/>
          </w:r>
          <w:r>
            <w:rPr>
              <w:rFonts w:hint="eastAsia" w:ascii="宋体" w:hAnsi="宋体" w:eastAsia="宋体" w:cs="宋体"/>
              <w:kern w:val="2"/>
              <w:szCs w:val="24"/>
              <w:lang w:val="en-US" w:eastAsia="zh-CN" w:bidi="ar-SA"/>
            </w:rPr>
            <w:fldChar w:fldCharType="end"/>
          </w:r>
        </w:p>
        <w:p w14:paraId="5A60BE7E">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_Toc31296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4.3.1. </w:t>
          </w:r>
          <w:r>
            <w:rPr>
              <w:rFonts w:hint="eastAsia" w:ascii="宋体" w:hAnsi="宋体" w:eastAsia="宋体" w:cs="宋体"/>
              <w:szCs w:val="28"/>
              <w:lang w:val="en-US" w:eastAsia="zh-CN"/>
            </w:rPr>
            <w:t>套利雷达</w:t>
          </w:r>
          <w:r>
            <w:tab/>
          </w:r>
          <w:r>
            <w:fldChar w:fldCharType="begin"/>
          </w:r>
          <w:r>
            <w:instrText xml:space="preserve"> PAGEREF _Toc31296 \h </w:instrText>
          </w:r>
          <w:r>
            <w:fldChar w:fldCharType="separate"/>
          </w:r>
          <w:r>
            <w:t>36</w:t>
          </w:r>
          <w:r>
            <w:fldChar w:fldCharType="end"/>
          </w:r>
          <w:r>
            <w:rPr>
              <w:rFonts w:hint="eastAsia" w:ascii="宋体" w:hAnsi="宋体" w:eastAsia="宋体" w:cs="宋体"/>
              <w:kern w:val="2"/>
              <w:szCs w:val="24"/>
              <w:lang w:val="en-US" w:eastAsia="zh-CN" w:bidi="ar-SA"/>
            </w:rPr>
            <w:fldChar w:fldCharType="end"/>
          </w:r>
        </w:p>
        <w:p w14:paraId="4EA762AC">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_Toc23749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4.3.2. </w:t>
          </w:r>
          <w:r>
            <w:rPr>
              <w:rFonts w:hint="eastAsia" w:ascii="宋体" w:hAnsi="宋体" w:eastAsia="宋体" w:cs="宋体"/>
              <w:szCs w:val="24"/>
              <w:lang w:val="en-US" w:eastAsia="zh-CN"/>
            </w:rPr>
            <w:t>多品种套利</w:t>
          </w:r>
          <w:r>
            <w:tab/>
          </w:r>
          <w:r>
            <w:fldChar w:fldCharType="begin"/>
          </w:r>
          <w:r>
            <w:instrText xml:space="preserve"> PAGEREF _Toc23749 \h </w:instrText>
          </w:r>
          <w:r>
            <w:fldChar w:fldCharType="separate"/>
          </w:r>
          <w:r>
            <w:t>37</w:t>
          </w:r>
          <w:r>
            <w:fldChar w:fldCharType="end"/>
          </w:r>
          <w:r>
            <w:rPr>
              <w:rFonts w:hint="eastAsia" w:ascii="宋体" w:hAnsi="宋体" w:eastAsia="宋体" w:cs="宋体"/>
              <w:kern w:val="2"/>
              <w:szCs w:val="24"/>
              <w:lang w:val="en-US" w:eastAsia="zh-CN" w:bidi="ar-SA"/>
            </w:rPr>
            <w:fldChar w:fldCharType="end"/>
          </w:r>
        </w:p>
        <w:p w14:paraId="1C823546">
          <w:pPr>
            <w:pStyle w:val="18"/>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_Toc12442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28"/>
              <w:lang w:val="en-US" w:eastAsia="zh-CN"/>
            </w:rPr>
            <w:t xml:space="preserve">4.4. </w:t>
          </w:r>
          <w:r>
            <w:rPr>
              <w:rFonts w:hint="eastAsia" w:ascii="宋体" w:hAnsi="宋体" w:eastAsia="宋体" w:cs="宋体"/>
              <w:szCs w:val="28"/>
              <w:lang w:val="en-US" w:eastAsia="zh-CN"/>
            </w:rPr>
            <w:t>指令流程</w:t>
          </w:r>
          <w:r>
            <w:tab/>
          </w:r>
          <w:r>
            <w:fldChar w:fldCharType="begin"/>
          </w:r>
          <w:r>
            <w:instrText xml:space="preserve"> PAGEREF _Toc12442 \h </w:instrText>
          </w:r>
          <w:r>
            <w:fldChar w:fldCharType="separate"/>
          </w:r>
          <w:r>
            <w:t>49</w:t>
          </w:r>
          <w:r>
            <w:fldChar w:fldCharType="end"/>
          </w:r>
          <w:r>
            <w:rPr>
              <w:rFonts w:hint="eastAsia" w:ascii="宋体" w:hAnsi="宋体" w:eastAsia="宋体" w:cs="宋体"/>
              <w:kern w:val="2"/>
              <w:szCs w:val="24"/>
              <w:lang w:val="en-US" w:eastAsia="zh-CN" w:bidi="ar-SA"/>
            </w:rPr>
            <w:fldChar w:fldCharType="end"/>
          </w:r>
        </w:p>
        <w:p w14:paraId="66640F8C">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_Toc17243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4.4.1. </w:t>
          </w:r>
          <w:r>
            <w:rPr>
              <w:rFonts w:hint="eastAsia" w:ascii="宋体" w:hAnsi="宋体" w:eastAsia="宋体" w:cs="宋体"/>
              <w:szCs w:val="28"/>
              <w:lang w:val="en-US" w:eastAsia="zh-CN"/>
            </w:rPr>
            <w:t>指令说明</w:t>
          </w:r>
          <w:r>
            <w:tab/>
          </w:r>
          <w:r>
            <w:fldChar w:fldCharType="begin"/>
          </w:r>
          <w:r>
            <w:instrText xml:space="preserve"> PAGEREF _Toc17243 \h </w:instrText>
          </w:r>
          <w:r>
            <w:fldChar w:fldCharType="separate"/>
          </w:r>
          <w:r>
            <w:t>49</w:t>
          </w:r>
          <w:r>
            <w:fldChar w:fldCharType="end"/>
          </w:r>
          <w:r>
            <w:rPr>
              <w:rFonts w:hint="eastAsia" w:ascii="宋体" w:hAnsi="宋体" w:eastAsia="宋体" w:cs="宋体"/>
              <w:kern w:val="2"/>
              <w:szCs w:val="24"/>
              <w:lang w:val="en-US" w:eastAsia="zh-CN" w:bidi="ar-SA"/>
            </w:rPr>
            <w:fldChar w:fldCharType="end"/>
          </w:r>
        </w:p>
        <w:p w14:paraId="6682F47C">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_Toc7944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4.4.2. </w:t>
          </w:r>
          <w:r>
            <w:rPr>
              <w:rFonts w:hint="eastAsia" w:ascii="宋体" w:hAnsi="宋体" w:eastAsia="宋体" w:cs="宋体"/>
              <w:szCs w:val="28"/>
              <w:lang w:val="en-US" w:eastAsia="zh-CN"/>
            </w:rPr>
            <w:t>指令下达</w:t>
          </w:r>
          <w:r>
            <w:tab/>
          </w:r>
          <w:r>
            <w:fldChar w:fldCharType="begin"/>
          </w:r>
          <w:r>
            <w:instrText xml:space="preserve"> PAGEREF _Toc7944 \h </w:instrText>
          </w:r>
          <w:r>
            <w:fldChar w:fldCharType="separate"/>
          </w:r>
          <w:r>
            <w:t>49</w:t>
          </w:r>
          <w:r>
            <w:fldChar w:fldCharType="end"/>
          </w:r>
          <w:r>
            <w:rPr>
              <w:rFonts w:hint="eastAsia" w:ascii="宋体" w:hAnsi="宋体" w:eastAsia="宋体" w:cs="宋体"/>
              <w:kern w:val="2"/>
              <w:szCs w:val="24"/>
              <w:lang w:val="en-US" w:eastAsia="zh-CN" w:bidi="ar-SA"/>
            </w:rPr>
            <w:fldChar w:fldCharType="end"/>
          </w:r>
        </w:p>
        <w:p w14:paraId="31704E3B">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_Toc21539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4.4.3. </w:t>
          </w:r>
          <w:r>
            <w:rPr>
              <w:rFonts w:hint="eastAsia" w:ascii="宋体" w:hAnsi="宋体" w:eastAsia="宋体" w:cs="宋体"/>
              <w:szCs w:val="28"/>
              <w:lang w:val="en-US" w:eastAsia="zh-CN"/>
            </w:rPr>
            <w:t>指令审批</w:t>
          </w:r>
          <w:r>
            <w:tab/>
          </w:r>
          <w:r>
            <w:fldChar w:fldCharType="begin"/>
          </w:r>
          <w:r>
            <w:instrText xml:space="preserve"> PAGEREF _Toc21539 \h </w:instrText>
          </w:r>
          <w:r>
            <w:fldChar w:fldCharType="separate"/>
          </w:r>
          <w:r>
            <w:t>51</w:t>
          </w:r>
          <w:r>
            <w:fldChar w:fldCharType="end"/>
          </w:r>
          <w:r>
            <w:rPr>
              <w:rFonts w:hint="eastAsia" w:ascii="宋体" w:hAnsi="宋体" w:eastAsia="宋体" w:cs="宋体"/>
              <w:kern w:val="2"/>
              <w:szCs w:val="24"/>
              <w:lang w:val="en-US" w:eastAsia="zh-CN" w:bidi="ar-SA"/>
            </w:rPr>
            <w:fldChar w:fldCharType="end"/>
          </w:r>
        </w:p>
        <w:p w14:paraId="6722F78C">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_Toc4259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4.4.4. </w:t>
          </w:r>
          <w:r>
            <w:rPr>
              <w:rFonts w:hint="eastAsia" w:ascii="宋体" w:hAnsi="宋体" w:eastAsia="宋体" w:cs="宋体"/>
              <w:szCs w:val="28"/>
              <w:lang w:val="en-US" w:eastAsia="zh-CN"/>
            </w:rPr>
            <w:t>指令分发</w:t>
          </w:r>
          <w:r>
            <w:tab/>
          </w:r>
          <w:r>
            <w:fldChar w:fldCharType="begin"/>
          </w:r>
          <w:r>
            <w:instrText xml:space="preserve"> PAGEREF _Toc4259 \h </w:instrText>
          </w:r>
          <w:r>
            <w:fldChar w:fldCharType="separate"/>
          </w:r>
          <w:r>
            <w:t>51</w:t>
          </w:r>
          <w:r>
            <w:fldChar w:fldCharType="end"/>
          </w:r>
          <w:r>
            <w:rPr>
              <w:rFonts w:hint="eastAsia" w:ascii="宋体" w:hAnsi="宋体" w:eastAsia="宋体" w:cs="宋体"/>
              <w:kern w:val="2"/>
              <w:szCs w:val="24"/>
              <w:lang w:val="en-US" w:eastAsia="zh-CN" w:bidi="ar-SA"/>
            </w:rPr>
            <w:fldChar w:fldCharType="end"/>
          </w:r>
        </w:p>
        <w:p w14:paraId="18CB317E">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_Toc27419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4.4.5. </w:t>
          </w:r>
          <w:r>
            <w:rPr>
              <w:rFonts w:hint="eastAsia" w:ascii="宋体" w:hAnsi="宋体" w:eastAsia="宋体" w:cs="宋体"/>
              <w:szCs w:val="28"/>
              <w:lang w:val="en-US" w:eastAsia="zh-CN"/>
            </w:rPr>
            <w:t>指令执行</w:t>
          </w:r>
          <w:r>
            <w:tab/>
          </w:r>
          <w:r>
            <w:fldChar w:fldCharType="begin"/>
          </w:r>
          <w:r>
            <w:instrText xml:space="preserve"> PAGEREF _Toc27419 \h </w:instrText>
          </w:r>
          <w:r>
            <w:fldChar w:fldCharType="separate"/>
          </w:r>
          <w:r>
            <w:t>51</w:t>
          </w:r>
          <w:r>
            <w:fldChar w:fldCharType="end"/>
          </w:r>
          <w:r>
            <w:rPr>
              <w:rFonts w:hint="eastAsia" w:ascii="宋体" w:hAnsi="宋体" w:eastAsia="宋体" w:cs="宋体"/>
              <w:kern w:val="2"/>
              <w:szCs w:val="24"/>
              <w:lang w:val="en-US" w:eastAsia="zh-CN" w:bidi="ar-SA"/>
            </w:rPr>
            <w:fldChar w:fldCharType="end"/>
          </w:r>
        </w:p>
        <w:p w14:paraId="05A8E301">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_Toc374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4.4.6. </w:t>
          </w:r>
          <w:r>
            <w:rPr>
              <w:rFonts w:hint="eastAsia" w:ascii="宋体" w:hAnsi="宋体" w:eastAsia="宋体" w:cs="宋体"/>
              <w:szCs w:val="28"/>
              <w:lang w:val="en-US" w:eastAsia="zh-CN"/>
            </w:rPr>
            <w:t>指令撤销</w:t>
          </w:r>
          <w:r>
            <w:tab/>
          </w:r>
          <w:r>
            <w:fldChar w:fldCharType="begin"/>
          </w:r>
          <w:r>
            <w:instrText xml:space="preserve"> PAGEREF _Toc374 \h </w:instrText>
          </w:r>
          <w:r>
            <w:fldChar w:fldCharType="separate"/>
          </w:r>
          <w:r>
            <w:t>52</w:t>
          </w:r>
          <w:r>
            <w:fldChar w:fldCharType="end"/>
          </w:r>
          <w:r>
            <w:rPr>
              <w:rFonts w:hint="eastAsia" w:ascii="宋体" w:hAnsi="宋体" w:eastAsia="宋体" w:cs="宋体"/>
              <w:kern w:val="2"/>
              <w:szCs w:val="24"/>
              <w:lang w:val="en-US" w:eastAsia="zh-CN" w:bidi="ar-SA"/>
            </w:rPr>
            <w:fldChar w:fldCharType="end"/>
          </w:r>
        </w:p>
        <w:p w14:paraId="1B0B7BFA">
          <w:pPr>
            <w:pStyle w:val="18"/>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_Toc3086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28"/>
              <w:lang w:val="en-US" w:eastAsia="zh-CN"/>
            </w:rPr>
            <w:t xml:space="preserve">4.5. </w:t>
          </w:r>
          <w:r>
            <w:rPr>
              <w:rFonts w:hint="eastAsia" w:ascii="宋体" w:hAnsi="宋体" w:eastAsia="宋体" w:cs="宋体"/>
              <w:szCs w:val="28"/>
              <w:lang w:val="en-US" w:eastAsia="zh-CN"/>
            </w:rPr>
            <w:t>运营管理</w:t>
          </w:r>
          <w:r>
            <w:tab/>
          </w:r>
          <w:r>
            <w:fldChar w:fldCharType="begin"/>
          </w:r>
          <w:r>
            <w:instrText xml:space="preserve"> PAGEREF _Toc3086 \h </w:instrText>
          </w:r>
          <w:r>
            <w:fldChar w:fldCharType="separate"/>
          </w:r>
          <w:r>
            <w:t>52</w:t>
          </w:r>
          <w:r>
            <w:fldChar w:fldCharType="end"/>
          </w:r>
          <w:r>
            <w:rPr>
              <w:rFonts w:hint="eastAsia" w:ascii="宋体" w:hAnsi="宋体" w:eastAsia="宋体" w:cs="宋体"/>
              <w:kern w:val="2"/>
              <w:szCs w:val="24"/>
              <w:lang w:val="en-US" w:eastAsia="zh-CN" w:bidi="ar-SA"/>
            </w:rPr>
            <w:fldChar w:fldCharType="end"/>
          </w:r>
        </w:p>
        <w:p w14:paraId="0046213C">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_Toc1664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4.5.1. </w:t>
          </w:r>
          <w:r>
            <w:rPr>
              <w:rFonts w:hint="eastAsia" w:ascii="宋体" w:hAnsi="宋体" w:eastAsia="宋体" w:cs="宋体"/>
              <w:szCs w:val="28"/>
              <w:lang w:val="en-US" w:eastAsia="zh-CN"/>
            </w:rPr>
            <w:t>消息中心</w:t>
          </w:r>
          <w:r>
            <w:tab/>
          </w:r>
          <w:r>
            <w:fldChar w:fldCharType="begin"/>
          </w:r>
          <w:r>
            <w:instrText xml:space="preserve"> PAGEREF _Toc1664 \h </w:instrText>
          </w:r>
          <w:r>
            <w:fldChar w:fldCharType="separate"/>
          </w:r>
          <w:r>
            <w:t>52</w:t>
          </w:r>
          <w:r>
            <w:fldChar w:fldCharType="end"/>
          </w:r>
          <w:r>
            <w:rPr>
              <w:rFonts w:hint="eastAsia" w:ascii="宋体" w:hAnsi="宋体" w:eastAsia="宋体" w:cs="宋体"/>
              <w:kern w:val="2"/>
              <w:szCs w:val="24"/>
              <w:lang w:val="en-US" w:eastAsia="zh-CN" w:bidi="ar-SA"/>
            </w:rPr>
            <w:fldChar w:fldCharType="end"/>
          </w:r>
        </w:p>
        <w:p w14:paraId="34B986A2">
          <w:pPr>
            <w:pStyle w:val="18"/>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_Toc32489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28"/>
              <w:lang w:val="en-US" w:eastAsia="zh-CN"/>
            </w:rPr>
            <w:t xml:space="preserve">4.6. </w:t>
          </w:r>
          <w:r>
            <w:rPr>
              <w:rFonts w:hint="eastAsia" w:ascii="宋体" w:hAnsi="宋体" w:eastAsia="宋体" w:cs="宋体"/>
              <w:szCs w:val="28"/>
              <w:lang w:val="en-US" w:eastAsia="zh-CN"/>
            </w:rPr>
            <w:t>收藏</w:t>
          </w:r>
          <w:r>
            <w:tab/>
          </w:r>
          <w:r>
            <w:fldChar w:fldCharType="begin"/>
          </w:r>
          <w:r>
            <w:instrText xml:space="preserve"> PAGEREF _Toc32489 \h </w:instrText>
          </w:r>
          <w:r>
            <w:fldChar w:fldCharType="separate"/>
          </w:r>
          <w:r>
            <w:t>52</w:t>
          </w:r>
          <w:r>
            <w:fldChar w:fldCharType="end"/>
          </w:r>
          <w:r>
            <w:rPr>
              <w:rFonts w:hint="eastAsia" w:ascii="宋体" w:hAnsi="宋体" w:eastAsia="宋体" w:cs="宋体"/>
              <w:kern w:val="2"/>
              <w:szCs w:val="24"/>
              <w:lang w:val="en-US" w:eastAsia="zh-CN" w:bidi="ar-SA"/>
            </w:rPr>
            <w:fldChar w:fldCharType="end"/>
          </w:r>
        </w:p>
        <w:p w14:paraId="67523977">
          <w:pPr>
            <w:pStyle w:val="15"/>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_Toc31520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30"/>
              <w:lang w:val="en-US" w:eastAsia="zh-CN"/>
            </w:rPr>
            <w:t xml:space="preserve">5. </w:t>
          </w:r>
          <w:r>
            <w:rPr>
              <w:rFonts w:hint="eastAsia" w:ascii="宋体" w:hAnsi="宋体" w:eastAsia="宋体" w:cs="宋体"/>
              <w:szCs w:val="30"/>
              <w:lang w:val="en-US" w:eastAsia="zh-CN"/>
            </w:rPr>
            <w:t>特色服务</w:t>
          </w:r>
          <w:r>
            <w:tab/>
          </w:r>
          <w:r>
            <w:fldChar w:fldCharType="begin"/>
          </w:r>
          <w:r>
            <w:instrText xml:space="preserve"> PAGEREF _Toc31520 \h </w:instrText>
          </w:r>
          <w:r>
            <w:fldChar w:fldCharType="separate"/>
          </w:r>
          <w:r>
            <w:t>52</w:t>
          </w:r>
          <w:r>
            <w:fldChar w:fldCharType="end"/>
          </w:r>
          <w:r>
            <w:rPr>
              <w:rFonts w:hint="eastAsia" w:ascii="宋体" w:hAnsi="宋体" w:eastAsia="宋体" w:cs="宋体"/>
              <w:kern w:val="2"/>
              <w:szCs w:val="24"/>
              <w:lang w:val="en-US" w:eastAsia="zh-CN" w:bidi="ar-SA"/>
            </w:rPr>
            <w:fldChar w:fldCharType="end"/>
          </w:r>
        </w:p>
        <w:p w14:paraId="45D57939">
          <w:pPr>
            <w:pStyle w:val="18"/>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_Toc16405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28"/>
              <w:lang w:val="en-US" w:eastAsia="zh-CN"/>
            </w:rPr>
            <w:t xml:space="preserve">5.1. </w:t>
          </w:r>
          <w:r>
            <w:rPr>
              <w:rFonts w:hint="eastAsia" w:ascii="宋体" w:hAnsi="宋体" w:eastAsia="宋体" w:cs="宋体"/>
              <w:szCs w:val="28"/>
              <w:lang w:val="en-US" w:eastAsia="zh-CN"/>
            </w:rPr>
            <w:t>私募一体化</w:t>
          </w:r>
          <w:r>
            <w:tab/>
          </w:r>
          <w:r>
            <w:fldChar w:fldCharType="begin"/>
          </w:r>
          <w:r>
            <w:instrText xml:space="preserve"> PAGEREF _Toc16405 \h </w:instrText>
          </w:r>
          <w:r>
            <w:fldChar w:fldCharType="separate"/>
          </w:r>
          <w:r>
            <w:t>53</w:t>
          </w:r>
          <w:r>
            <w:fldChar w:fldCharType="end"/>
          </w:r>
          <w:r>
            <w:rPr>
              <w:rFonts w:hint="eastAsia" w:ascii="宋体" w:hAnsi="宋体" w:eastAsia="宋体" w:cs="宋体"/>
              <w:kern w:val="2"/>
              <w:szCs w:val="24"/>
              <w:lang w:val="en-US" w:eastAsia="zh-CN" w:bidi="ar-SA"/>
            </w:rPr>
            <w:fldChar w:fldCharType="end"/>
          </w:r>
        </w:p>
        <w:p w14:paraId="40CA8164">
          <w:pPr>
            <w:pStyle w:val="18"/>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_Toc18069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28"/>
              <w:lang w:val="en-US" w:eastAsia="zh-CN"/>
            </w:rPr>
            <w:t xml:space="preserve">5.2. </w:t>
          </w:r>
          <w:r>
            <w:rPr>
              <w:rFonts w:hint="eastAsia" w:ascii="宋体" w:hAnsi="宋体" w:eastAsia="宋体" w:cs="宋体"/>
              <w:szCs w:val="28"/>
              <w:lang w:val="en-US" w:eastAsia="zh-CN"/>
            </w:rPr>
            <w:t>量化投研平台</w:t>
          </w:r>
          <w:r>
            <w:tab/>
          </w:r>
          <w:r>
            <w:fldChar w:fldCharType="begin"/>
          </w:r>
          <w:r>
            <w:instrText xml:space="preserve"> PAGEREF _Toc18069 \h </w:instrText>
          </w:r>
          <w:r>
            <w:fldChar w:fldCharType="separate"/>
          </w:r>
          <w:r>
            <w:t>54</w:t>
          </w:r>
          <w:r>
            <w:fldChar w:fldCharType="end"/>
          </w:r>
          <w:r>
            <w:rPr>
              <w:rFonts w:hint="eastAsia" w:ascii="宋体" w:hAnsi="宋体" w:eastAsia="宋体" w:cs="宋体"/>
              <w:kern w:val="2"/>
              <w:szCs w:val="24"/>
              <w:lang w:val="en-US" w:eastAsia="zh-CN" w:bidi="ar-SA"/>
            </w:rPr>
            <w:fldChar w:fldCharType="end"/>
          </w:r>
        </w:p>
        <w:p w14:paraId="1C36169A">
          <w:pPr>
            <w:pStyle w:val="18"/>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_Toc27751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28"/>
              <w:lang w:val="en-US" w:eastAsia="zh-CN"/>
            </w:rPr>
            <w:t xml:space="preserve">5.3. </w:t>
          </w:r>
          <w:r>
            <w:rPr>
              <w:rFonts w:hint="eastAsia" w:ascii="宋体" w:hAnsi="宋体" w:eastAsia="宋体" w:cs="宋体"/>
              <w:szCs w:val="28"/>
              <w:lang w:val="en-US" w:eastAsia="zh-CN"/>
            </w:rPr>
            <w:t>低延时实验室</w:t>
          </w:r>
          <w:r>
            <w:tab/>
          </w:r>
          <w:r>
            <w:fldChar w:fldCharType="begin"/>
          </w:r>
          <w:r>
            <w:instrText xml:space="preserve"> PAGEREF _Toc27751 \h </w:instrText>
          </w:r>
          <w:r>
            <w:fldChar w:fldCharType="separate"/>
          </w:r>
          <w:r>
            <w:t>56</w:t>
          </w:r>
          <w:r>
            <w:fldChar w:fldCharType="end"/>
          </w:r>
          <w:r>
            <w:rPr>
              <w:rFonts w:hint="eastAsia" w:ascii="宋体" w:hAnsi="宋体" w:eastAsia="宋体" w:cs="宋体"/>
              <w:kern w:val="2"/>
              <w:szCs w:val="24"/>
              <w:lang w:val="en-US" w:eastAsia="zh-CN" w:bidi="ar-SA"/>
            </w:rPr>
            <w:fldChar w:fldCharType="end"/>
          </w:r>
        </w:p>
        <w:p w14:paraId="7B4EBA5E">
          <w:pPr>
            <w:pStyle w:val="15"/>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_Toc25263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bCs w:val="0"/>
              <w:szCs w:val="30"/>
              <w:lang w:val="en-US" w:eastAsia="zh-CN"/>
            </w:rPr>
            <w:t xml:space="preserve">6. </w:t>
          </w:r>
          <w:r>
            <w:rPr>
              <w:rFonts w:hint="eastAsia" w:ascii="宋体" w:hAnsi="宋体" w:eastAsia="宋体" w:cs="宋体"/>
              <w:bCs w:val="0"/>
              <w:szCs w:val="30"/>
              <w:lang w:val="en-US" w:eastAsia="zh-CN"/>
            </w:rPr>
            <w:t>系统</w:t>
          </w:r>
          <w:r>
            <w:tab/>
          </w:r>
          <w:r>
            <w:fldChar w:fldCharType="begin"/>
          </w:r>
          <w:r>
            <w:instrText xml:space="preserve"> PAGEREF _Toc25263 \h </w:instrText>
          </w:r>
          <w:r>
            <w:fldChar w:fldCharType="separate"/>
          </w:r>
          <w:r>
            <w:t>56</w:t>
          </w:r>
          <w:r>
            <w:fldChar w:fldCharType="end"/>
          </w:r>
          <w:r>
            <w:rPr>
              <w:rFonts w:hint="eastAsia" w:ascii="宋体" w:hAnsi="宋体" w:eastAsia="宋体" w:cs="宋体"/>
              <w:kern w:val="2"/>
              <w:szCs w:val="24"/>
              <w:lang w:val="en-US" w:eastAsia="zh-CN" w:bidi="ar-SA"/>
            </w:rPr>
            <w:fldChar w:fldCharType="end"/>
          </w:r>
        </w:p>
        <w:p w14:paraId="4BDD4652">
          <w:pPr>
            <w:pStyle w:val="18"/>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_Toc19857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bCs w:val="0"/>
              <w:szCs w:val="28"/>
              <w:lang w:val="en-US" w:eastAsia="zh-CN"/>
            </w:rPr>
            <w:t xml:space="preserve">6.1. </w:t>
          </w:r>
          <w:r>
            <w:rPr>
              <w:rFonts w:hint="eastAsia" w:ascii="宋体" w:hAnsi="宋体" w:eastAsia="宋体" w:cs="宋体"/>
              <w:bCs w:val="0"/>
              <w:szCs w:val="28"/>
              <w:lang w:val="en-US" w:eastAsia="zh-CN"/>
            </w:rPr>
            <w:t>资金账号</w:t>
          </w:r>
          <w:r>
            <w:tab/>
          </w:r>
          <w:r>
            <w:fldChar w:fldCharType="begin"/>
          </w:r>
          <w:r>
            <w:instrText xml:space="preserve"> PAGEREF _Toc19857 \h </w:instrText>
          </w:r>
          <w:r>
            <w:fldChar w:fldCharType="separate"/>
          </w:r>
          <w:r>
            <w:t>56</w:t>
          </w:r>
          <w:r>
            <w:fldChar w:fldCharType="end"/>
          </w:r>
          <w:r>
            <w:rPr>
              <w:rFonts w:hint="eastAsia" w:ascii="宋体" w:hAnsi="宋体" w:eastAsia="宋体" w:cs="宋体"/>
              <w:kern w:val="2"/>
              <w:szCs w:val="24"/>
              <w:lang w:val="en-US" w:eastAsia="zh-CN" w:bidi="ar-SA"/>
            </w:rPr>
            <w:fldChar w:fldCharType="end"/>
          </w:r>
        </w:p>
        <w:p w14:paraId="01F0823F">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_Toc21739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6.1.1. </w:t>
          </w:r>
          <w:r>
            <w:rPr>
              <w:rFonts w:hint="eastAsia" w:ascii="宋体" w:hAnsi="宋体" w:eastAsia="宋体" w:cs="宋体"/>
              <w:szCs w:val="28"/>
              <w:lang w:val="en-US" w:eastAsia="zh-CN"/>
            </w:rPr>
            <w:t>我要开户</w:t>
          </w:r>
          <w:r>
            <w:tab/>
          </w:r>
          <w:r>
            <w:fldChar w:fldCharType="begin"/>
          </w:r>
          <w:r>
            <w:instrText xml:space="preserve"> PAGEREF _Toc21739 \h </w:instrText>
          </w:r>
          <w:r>
            <w:fldChar w:fldCharType="separate"/>
          </w:r>
          <w:r>
            <w:t>57</w:t>
          </w:r>
          <w:r>
            <w:fldChar w:fldCharType="end"/>
          </w:r>
          <w:r>
            <w:rPr>
              <w:rFonts w:hint="eastAsia" w:ascii="宋体" w:hAnsi="宋体" w:eastAsia="宋体" w:cs="宋体"/>
              <w:kern w:val="2"/>
              <w:szCs w:val="24"/>
              <w:lang w:val="en-US" w:eastAsia="zh-CN" w:bidi="ar-SA"/>
            </w:rPr>
            <w:fldChar w:fldCharType="end"/>
          </w:r>
        </w:p>
        <w:p w14:paraId="4BFAD1E7">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_Toc4939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6.1.2. </w:t>
          </w:r>
          <w:r>
            <w:rPr>
              <w:rFonts w:hint="eastAsia" w:ascii="宋体" w:hAnsi="宋体" w:eastAsia="宋体" w:cs="宋体"/>
              <w:szCs w:val="28"/>
              <w:lang w:val="en-US" w:eastAsia="zh-CN"/>
            </w:rPr>
            <w:t>账户管理</w:t>
          </w:r>
          <w:r>
            <w:tab/>
          </w:r>
          <w:r>
            <w:fldChar w:fldCharType="begin"/>
          </w:r>
          <w:r>
            <w:instrText xml:space="preserve"> PAGEREF _Toc4939 \h </w:instrText>
          </w:r>
          <w:r>
            <w:fldChar w:fldCharType="separate"/>
          </w:r>
          <w:r>
            <w:t>57</w:t>
          </w:r>
          <w:r>
            <w:fldChar w:fldCharType="end"/>
          </w:r>
          <w:r>
            <w:rPr>
              <w:rFonts w:hint="eastAsia" w:ascii="宋体" w:hAnsi="宋体" w:eastAsia="宋体" w:cs="宋体"/>
              <w:kern w:val="2"/>
              <w:szCs w:val="24"/>
              <w:lang w:val="en-US" w:eastAsia="zh-CN" w:bidi="ar-SA"/>
            </w:rPr>
            <w:fldChar w:fldCharType="end"/>
          </w:r>
        </w:p>
        <w:p w14:paraId="5DEA7C5E">
          <w:pPr>
            <w:pStyle w:val="18"/>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_Toc5520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bCs w:val="0"/>
              <w:szCs w:val="28"/>
              <w:lang w:val="en-US" w:eastAsia="zh-CN"/>
            </w:rPr>
            <w:t xml:space="preserve">6.2. </w:t>
          </w:r>
          <w:r>
            <w:rPr>
              <w:rFonts w:hint="eastAsia" w:ascii="宋体" w:hAnsi="宋体" w:eastAsia="宋体" w:cs="宋体"/>
              <w:bCs w:val="0"/>
              <w:szCs w:val="28"/>
              <w:lang w:val="en-US" w:eastAsia="zh-CN"/>
            </w:rPr>
            <w:t>关于</w:t>
          </w:r>
          <w:r>
            <w:tab/>
          </w:r>
          <w:r>
            <w:fldChar w:fldCharType="begin"/>
          </w:r>
          <w:r>
            <w:instrText xml:space="preserve"> PAGEREF _Toc5520 \h </w:instrText>
          </w:r>
          <w:r>
            <w:fldChar w:fldCharType="separate"/>
          </w:r>
          <w:r>
            <w:t>58</w:t>
          </w:r>
          <w:r>
            <w:fldChar w:fldCharType="end"/>
          </w:r>
          <w:r>
            <w:rPr>
              <w:rFonts w:hint="eastAsia" w:ascii="宋体" w:hAnsi="宋体" w:eastAsia="宋体" w:cs="宋体"/>
              <w:kern w:val="2"/>
              <w:szCs w:val="24"/>
              <w:lang w:val="en-US" w:eastAsia="zh-CN" w:bidi="ar-SA"/>
            </w:rPr>
            <w:fldChar w:fldCharType="end"/>
          </w:r>
        </w:p>
        <w:p w14:paraId="0498D701">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_Toc26245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6.2.1. </w:t>
          </w:r>
          <w:r>
            <w:rPr>
              <w:rFonts w:hint="eastAsia" w:ascii="宋体" w:hAnsi="宋体" w:eastAsia="宋体" w:cs="宋体"/>
              <w:szCs w:val="28"/>
              <w:lang w:val="en-US" w:eastAsia="zh-CN"/>
            </w:rPr>
            <w:t>关于我们</w:t>
          </w:r>
          <w:r>
            <w:tab/>
          </w:r>
          <w:r>
            <w:fldChar w:fldCharType="begin"/>
          </w:r>
          <w:r>
            <w:instrText xml:space="preserve"> PAGEREF _Toc26245 \h </w:instrText>
          </w:r>
          <w:r>
            <w:fldChar w:fldCharType="separate"/>
          </w:r>
          <w:r>
            <w:t>58</w:t>
          </w:r>
          <w:r>
            <w:fldChar w:fldCharType="end"/>
          </w:r>
          <w:r>
            <w:rPr>
              <w:rFonts w:hint="eastAsia" w:ascii="宋体" w:hAnsi="宋体" w:eastAsia="宋体" w:cs="宋体"/>
              <w:kern w:val="2"/>
              <w:szCs w:val="24"/>
              <w:lang w:val="en-US" w:eastAsia="zh-CN" w:bidi="ar-SA"/>
            </w:rPr>
            <w:fldChar w:fldCharType="end"/>
          </w:r>
        </w:p>
        <w:p w14:paraId="778380EE">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_Toc31876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6.2.2. </w:t>
          </w:r>
          <w:r>
            <w:rPr>
              <w:rFonts w:hint="eastAsia" w:ascii="宋体" w:hAnsi="宋体" w:eastAsia="宋体" w:cs="宋体"/>
              <w:szCs w:val="28"/>
              <w:lang w:val="en-US" w:eastAsia="zh-CN"/>
            </w:rPr>
            <w:t>注销账号</w:t>
          </w:r>
          <w:r>
            <w:tab/>
          </w:r>
          <w:r>
            <w:fldChar w:fldCharType="begin"/>
          </w:r>
          <w:r>
            <w:instrText xml:space="preserve"> PAGEREF _Toc31876 \h </w:instrText>
          </w:r>
          <w:r>
            <w:fldChar w:fldCharType="separate"/>
          </w:r>
          <w:r>
            <w:t>59</w:t>
          </w:r>
          <w:r>
            <w:fldChar w:fldCharType="end"/>
          </w:r>
          <w:r>
            <w:rPr>
              <w:rFonts w:hint="eastAsia" w:ascii="宋体" w:hAnsi="宋体" w:eastAsia="宋体" w:cs="宋体"/>
              <w:kern w:val="2"/>
              <w:szCs w:val="24"/>
              <w:lang w:val="en-US" w:eastAsia="zh-CN" w:bidi="ar-SA"/>
            </w:rPr>
            <w:fldChar w:fldCharType="end"/>
          </w:r>
        </w:p>
        <w:p w14:paraId="502013C4">
          <w:pPr>
            <w:pStyle w:val="15"/>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_Toc12130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bCs w:val="0"/>
              <w:szCs w:val="30"/>
              <w:lang w:val="en-US" w:eastAsia="zh-CN"/>
            </w:rPr>
            <w:t xml:space="preserve">7. </w:t>
          </w:r>
          <w:r>
            <w:rPr>
              <w:rFonts w:hint="eastAsia" w:ascii="宋体" w:hAnsi="宋体" w:eastAsia="宋体" w:cs="宋体"/>
              <w:bCs w:val="0"/>
              <w:szCs w:val="30"/>
              <w:lang w:val="en-US" w:eastAsia="zh-CN"/>
            </w:rPr>
            <w:t>组件列表</w:t>
          </w:r>
          <w:r>
            <w:tab/>
          </w:r>
          <w:r>
            <w:fldChar w:fldCharType="begin"/>
          </w:r>
          <w:r>
            <w:instrText xml:space="preserve"> PAGEREF _Toc12130 \h </w:instrText>
          </w:r>
          <w:r>
            <w:fldChar w:fldCharType="separate"/>
          </w:r>
          <w:r>
            <w:t>59</w:t>
          </w:r>
          <w:r>
            <w:fldChar w:fldCharType="end"/>
          </w:r>
          <w:r>
            <w:rPr>
              <w:rFonts w:hint="eastAsia" w:ascii="宋体" w:hAnsi="宋体" w:eastAsia="宋体" w:cs="宋体"/>
              <w:kern w:val="2"/>
              <w:szCs w:val="24"/>
              <w:lang w:val="en-US" w:eastAsia="zh-CN" w:bidi="ar-SA"/>
            </w:rPr>
            <w:fldChar w:fldCharType="end"/>
          </w:r>
        </w:p>
        <w:p w14:paraId="3F701448">
          <w:pPr>
            <w:pStyle w:val="15"/>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_Toc18925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bCs w:val="0"/>
              <w:szCs w:val="30"/>
              <w:lang w:val="en-US" w:eastAsia="zh-CN"/>
            </w:rPr>
            <w:t xml:space="preserve">8. </w:t>
          </w:r>
          <w:r>
            <w:rPr>
              <w:rFonts w:hint="eastAsia" w:ascii="宋体" w:hAnsi="宋体" w:eastAsia="宋体" w:cs="宋体"/>
              <w:bCs w:val="0"/>
              <w:szCs w:val="30"/>
              <w:lang w:val="en-US" w:eastAsia="zh-CN"/>
            </w:rPr>
            <w:t>用户数据上传下载</w:t>
          </w:r>
          <w:r>
            <w:tab/>
          </w:r>
          <w:r>
            <w:fldChar w:fldCharType="begin"/>
          </w:r>
          <w:r>
            <w:instrText xml:space="preserve"> PAGEREF _Toc18925 \h </w:instrText>
          </w:r>
          <w:r>
            <w:fldChar w:fldCharType="separate"/>
          </w:r>
          <w:r>
            <w:t>60</w:t>
          </w:r>
          <w:r>
            <w:fldChar w:fldCharType="end"/>
          </w:r>
          <w:r>
            <w:rPr>
              <w:rFonts w:hint="eastAsia" w:ascii="宋体" w:hAnsi="宋体" w:eastAsia="宋体" w:cs="宋体"/>
              <w:kern w:val="2"/>
              <w:szCs w:val="24"/>
              <w:lang w:val="en-US" w:eastAsia="zh-CN" w:bidi="ar-SA"/>
            </w:rPr>
            <w:fldChar w:fldCharType="end"/>
          </w:r>
        </w:p>
        <w:p w14:paraId="2B484743">
          <w:pPr>
            <w:pStyle w:val="15"/>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_Toc27593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bCs w:val="0"/>
              <w:szCs w:val="30"/>
              <w:lang w:val="en-US" w:eastAsia="zh-CN"/>
            </w:rPr>
            <w:t xml:space="preserve">9. </w:t>
          </w:r>
          <w:r>
            <w:rPr>
              <w:rFonts w:hint="eastAsia" w:ascii="宋体" w:hAnsi="宋体" w:eastAsia="宋体" w:cs="宋体"/>
              <w:bCs w:val="0"/>
              <w:szCs w:val="30"/>
              <w:lang w:val="en-US" w:eastAsia="zh-CN"/>
            </w:rPr>
            <w:t>设置</w:t>
          </w:r>
          <w:r>
            <w:tab/>
          </w:r>
          <w:r>
            <w:fldChar w:fldCharType="begin"/>
          </w:r>
          <w:r>
            <w:instrText xml:space="preserve"> PAGEREF _Toc27593 \h </w:instrText>
          </w:r>
          <w:r>
            <w:fldChar w:fldCharType="separate"/>
          </w:r>
          <w:r>
            <w:t>60</w:t>
          </w:r>
          <w:r>
            <w:fldChar w:fldCharType="end"/>
          </w:r>
          <w:r>
            <w:rPr>
              <w:rFonts w:hint="eastAsia" w:ascii="宋体" w:hAnsi="宋体" w:eastAsia="宋体" w:cs="宋体"/>
              <w:kern w:val="2"/>
              <w:szCs w:val="24"/>
              <w:lang w:val="en-US" w:eastAsia="zh-CN" w:bidi="ar-SA"/>
            </w:rPr>
            <w:fldChar w:fldCharType="end"/>
          </w:r>
        </w:p>
        <w:p w14:paraId="30429334">
          <w:pPr>
            <w:pStyle w:val="18"/>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_Toc20715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28"/>
              <w:lang w:val="en-US" w:eastAsia="zh-CN"/>
            </w:rPr>
            <w:t xml:space="preserve">9.1. </w:t>
          </w:r>
          <w:r>
            <w:rPr>
              <w:rFonts w:hint="eastAsia" w:ascii="宋体" w:hAnsi="宋体" w:eastAsia="宋体" w:cs="宋体"/>
              <w:szCs w:val="28"/>
              <w:lang w:val="en-US" w:eastAsia="zh-CN"/>
            </w:rPr>
            <w:t>交易设置</w:t>
          </w:r>
          <w:r>
            <w:tab/>
          </w:r>
          <w:r>
            <w:fldChar w:fldCharType="begin"/>
          </w:r>
          <w:r>
            <w:instrText xml:space="preserve"> PAGEREF _Toc20715 \h </w:instrText>
          </w:r>
          <w:r>
            <w:fldChar w:fldCharType="separate"/>
          </w:r>
          <w:r>
            <w:t>60</w:t>
          </w:r>
          <w:r>
            <w:fldChar w:fldCharType="end"/>
          </w:r>
          <w:r>
            <w:rPr>
              <w:rFonts w:hint="eastAsia" w:ascii="宋体" w:hAnsi="宋体" w:eastAsia="宋体" w:cs="宋体"/>
              <w:kern w:val="2"/>
              <w:szCs w:val="24"/>
              <w:lang w:val="en-US" w:eastAsia="zh-CN" w:bidi="ar-SA"/>
            </w:rPr>
            <w:fldChar w:fldCharType="end"/>
          </w:r>
        </w:p>
        <w:p w14:paraId="46A7DD75">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_Toc9173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9.1.1. </w:t>
          </w:r>
          <w:r>
            <w:rPr>
              <w:rFonts w:hint="eastAsia" w:ascii="宋体" w:hAnsi="宋体" w:eastAsia="宋体" w:cs="宋体"/>
              <w:szCs w:val="28"/>
              <w:lang w:val="en-US" w:eastAsia="zh-CN"/>
            </w:rPr>
            <w:t>全局交易设置</w:t>
          </w:r>
          <w:r>
            <w:tab/>
          </w:r>
          <w:r>
            <w:fldChar w:fldCharType="begin"/>
          </w:r>
          <w:r>
            <w:instrText xml:space="preserve"> PAGEREF _Toc9173 \h </w:instrText>
          </w:r>
          <w:r>
            <w:fldChar w:fldCharType="separate"/>
          </w:r>
          <w:r>
            <w:t>60</w:t>
          </w:r>
          <w:r>
            <w:fldChar w:fldCharType="end"/>
          </w:r>
          <w:r>
            <w:rPr>
              <w:rFonts w:hint="eastAsia" w:ascii="宋体" w:hAnsi="宋体" w:eastAsia="宋体" w:cs="宋体"/>
              <w:kern w:val="2"/>
              <w:szCs w:val="24"/>
              <w:lang w:val="en-US" w:eastAsia="zh-CN" w:bidi="ar-SA"/>
            </w:rPr>
            <w:fldChar w:fldCharType="end"/>
          </w:r>
        </w:p>
        <w:p w14:paraId="6B985692">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_Toc15580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9.1.2. </w:t>
          </w:r>
          <w:r>
            <w:rPr>
              <w:rFonts w:hint="eastAsia" w:ascii="宋体" w:hAnsi="宋体" w:eastAsia="宋体" w:cs="宋体"/>
              <w:szCs w:val="28"/>
              <w:lang w:val="en-US" w:eastAsia="zh-CN"/>
            </w:rPr>
            <w:t>基础交易设置</w:t>
          </w:r>
          <w:r>
            <w:tab/>
          </w:r>
          <w:r>
            <w:fldChar w:fldCharType="begin"/>
          </w:r>
          <w:r>
            <w:instrText xml:space="preserve"> PAGEREF _Toc15580 \h </w:instrText>
          </w:r>
          <w:r>
            <w:fldChar w:fldCharType="separate"/>
          </w:r>
          <w:r>
            <w:t>61</w:t>
          </w:r>
          <w:r>
            <w:fldChar w:fldCharType="end"/>
          </w:r>
          <w:r>
            <w:rPr>
              <w:rFonts w:hint="eastAsia" w:ascii="宋体" w:hAnsi="宋体" w:eastAsia="宋体" w:cs="宋体"/>
              <w:kern w:val="2"/>
              <w:szCs w:val="24"/>
              <w:lang w:val="en-US" w:eastAsia="zh-CN" w:bidi="ar-SA"/>
            </w:rPr>
            <w:fldChar w:fldCharType="end"/>
          </w:r>
        </w:p>
        <w:p w14:paraId="3763870C">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_Toc12904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9.1.3. </w:t>
          </w:r>
          <w:r>
            <w:rPr>
              <w:rFonts w:hint="eastAsia" w:ascii="宋体" w:hAnsi="宋体" w:eastAsia="宋体" w:cs="宋体"/>
              <w:szCs w:val="28"/>
              <w:lang w:val="en-US" w:eastAsia="zh-CN"/>
            </w:rPr>
            <w:t>指令交易设置</w:t>
          </w:r>
          <w:r>
            <w:tab/>
          </w:r>
          <w:r>
            <w:fldChar w:fldCharType="begin"/>
          </w:r>
          <w:r>
            <w:instrText xml:space="preserve"> PAGEREF _Toc12904 \h </w:instrText>
          </w:r>
          <w:r>
            <w:fldChar w:fldCharType="separate"/>
          </w:r>
          <w:r>
            <w:t>62</w:t>
          </w:r>
          <w:r>
            <w:fldChar w:fldCharType="end"/>
          </w:r>
          <w:r>
            <w:rPr>
              <w:rFonts w:hint="eastAsia" w:ascii="宋体" w:hAnsi="宋体" w:eastAsia="宋体" w:cs="宋体"/>
              <w:kern w:val="2"/>
              <w:szCs w:val="24"/>
              <w:lang w:val="en-US" w:eastAsia="zh-CN" w:bidi="ar-SA"/>
            </w:rPr>
            <w:fldChar w:fldCharType="end"/>
          </w:r>
        </w:p>
        <w:p w14:paraId="02160BCA">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_Toc28174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9.1.4. </w:t>
          </w:r>
          <w:r>
            <w:rPr>
              <w:rFonts w:hint="eastAsia" w:ascii="宋体" w:hAnsi="宋体" w:eastAsia="宋体" w:cs="宋体"/>
              <w:szCs w:val="28"/>
              <w:lang w:val="en-US" w:eastAsia="zh-CN"/>
            </w:rPr>
            <w:t>期货交易设置</w:t>
          </w:r>
          <w:r>
            <w:tab/>
          </w:r>
          <w:r>
            <w:fldChar w:fldCharType="begin"/>
          </w:r>
          <w:r>
            <w:instrText xml:space="preserve"> PAGEREF _Toc28174 \h </w:instrText>
          </w:r>
          <w:r>
            <w:fldChar w:fldCharType="separate"/>
          </w:r>
          <w:r>
            <w:t>62</w:t>
          </w:r>
          <w:r>
            <w:fldChar w:fldCharType="end"/>
          </w:r>
          <w:r>
            <w:rPr>
              <w:rFonts w:hint="eastAsia" w:ascii="宋体" w:hAnsi="宋体" w:eastAsia="宋体" w:cs="宋体"/>
              <w:kern w:val="2"/>
              <w:szCs w:val="24"/>
              <w:lang w:val="en-US" w:eastAsia="zh-CN" w:bidi="ar-SA"/>
            </w:rPr>
            <w:fldChar w:fldCharType="end"/>
          </w:r>
        </w:p>
        <w:p w14:paraId="2E2FD5A2">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_Toc2987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9.1.5. </w:t>
          </w:r>
          <w:r>
            <w:rPr>
              <w:rFonts w:hint="eastAsia" w:ascii="宋体" w:hAnsi="宋体" w:eastAsia="宋体" w:cs="宋体"/>
              <w:szCs w:val="28"/>
              <w:lang w:val="en-US" w:eastAsia="zh-CN"/>
            </w:rPr>
            <w:t>价格笼子设置</w:t>
          </w:r>
          <w:r>
            <w:tab/>
          </w:r>
          <w:r>
            <w:fldChar w:fldCharType="begin"/>
          </w:r>
          <w:r>
            <w:instrText xml:space="preserve"> PAGEREF _Toc2987 \h </w:instrText>
          </w:r>
          <w:r>
            <w:fldChar w:fldCharType="separate"/>
          </w:r>
          <w:r>
            <w:t>62</w:t>
          </w:r>
          <w:r>
            <w:fldChar w:fldCharType="end"/>
          </w:r>
          <w:r>
            <w:rPr>
              <w:rFonts w:hint="eastAsia" w:ascii="宋体" w:hAnsi="宋体" w:eastAsia="宋体" w:cs="宋体"/>
              <w:kern w:val="2"/>
              <w:szCs w:val="24"/>
              <w:lang w:val="en-US" w:eastAsia="zh-CN" w:bidi="ar-SA"/>
            </w:rPr>
            <w:fldChar w:fldCharType="end"/>
          </w:r>
        </w:p>
        <w:p w14:paraId="7F41843E">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_Toc4310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9.1.6. </w:t>
          </w:r>
          <w:r>
            <w:rPr>
              <w:rFonts w:hint="eastAsia" w:ascii="宋体" w:hAnsi="宋体" w:eastAsia="宋体" w:cs="宋体"/>
              <w:szCs w:val="28"/>
              <w:lang w:val="en-US" w:eastAsia="zh-CN"/>
            </w:rPr>
            <w:t>交易费率设置</w:t>
          </w:r>
          <w:r>
            <w:tab/>
          </w:r>
          <w:r>
            <w:fldChar w:fldCharType="begin"/>
          </w:r>
          <w:r>
            <w:instrText xml:space="preserve"> PAGEREF _Toc4310 \h </w:instrText>
          </w:r>
          <w:r>
            <w:fldChar w:fldCharType="separate"/>
          </w:r>
          <w:r>
            <w:t>63</w:t>
          </w:r>
          <w:r>
            <w:fldChar w:fldCharType="end"/>
          </w:r>
          <w:r>
            <w:rPr>
              <w:rFonts w:hint="eastAsia" w:ascii="宋体" w:hAnsi="宋体" w:eastAsia="宋体" w:cs="宋体"/>
              <w:kern w:val="2"/>
              <w:szCs w:val="24"/>
              <w:lang w:val="en-US" w:eastAsia="zh-CN" w:bidi="ar-SA"/>
            </w:rPr>
            <w:fldChar w:fldCharType="end"/>
          </w:r>
        </w:p>
        <w:p w14:paraId="47DB3136">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_Toc14406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9.1.7. </w:t>
          </w:r>
          <w:r>
            <w:rPr>
              <w:rFonts w:hint="eastAsia" w:ascii="宋体" w:hAnsi="宋体" w:eastAsia="宋体" w:cs="宋体"/>
              <w:szCs w:val="28"/>
              <w:lang w:val="en-US" w:eastAsia="zh-CN"/>
            </w:rPr>
            <w:t>期权交易设置</w:t>
          </w:r>
          <w:r>
            <w:tab/>
          </w:r>
          <w:r>
            <w:fldChar w:fldCharType="begin"/>
          </w:r>
          <w:r>
            <w:instrText xml:space="preserve"> PAGEREF _Toc14406 \h </w:instrText>
          </w:r>
          <w:r>
            <w:fldChar w:fldCharType="separate"/>
          </w:r>
          <w:r>
            <w:t>63</w:t>
          </w:r>
          <w:r>
            <w:fldChar w:fldCharType="end"/>
          </w:r>
          <w:r>
            <w:rPr>
              <w:rFonts w:hint="eastAsia" w:ascii="宋体" w:hAnsi="宋体" w:eastAsia="宋体" w:cs="宋体"/>
              <w:kern w:val="2"/>
              <w:szCs w:val="24"/>
              <w:lang w:val="en-US" w:eastAsia="zh-CN" w:bidi="ar-SA"/>
            </w:rPr>
            <w:fldChar w:fldCharType="end"/>
          </w:r>
        </w:p>
        <w:p w14:paraId="3BEE628D">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_Toc27216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9.1.8. </w:t>
          </w:r>
          <w:r>
            <w:rPr>
              <w:rFonts w:hint="eastAsia" w:ascii="宋体" w:hAnsi="宋体" w:eastAsia="宋体" w:cs="宋体"/>
              <w:szCs w:val="28"/>
              <w:lang w:val="en-US" w:eastAsia="zh-CN"/>
            </w:rPr>
            <w:t>期货期权交易设置</w:t>
          </w:r>
          <w:r>
            <w:tab/>
          </w:r>
          <w:r>
            <w:fldChar w:fldCharType="begin"/>
          </w:r>
          <w:r>
            <w:instrText xml:space="preserve"> PAGEREF _Toc27216 \h </w:instrText>
          </w:r>
          <w:r>
            <w:fldChar w:fldCharType="separate"/>
          </w:r>
          <w:r>
            <w:t>64</w:t>
          </w:r>
          <w:r>
            <w:fldChar w:fldCharType="end"/>
          </w:r>
          <w:r>
            <w:rPr>
              <w:rFonts w:hint="eastAsia" w:ascii="宋体" w:hAnsi="宋体" w:eastAsia="宋体" w:cs="宋体"/>
              <w:kern w:val="2"/>
              <w:szCs w:val="24"/>
              <w:lang w:val="en-US" w:eastAsia="zh-CN" w:bidi="ar-SA"/>
            </w:rPr>
            <w:fldChar w:fldCharType="end"/>
          </w:r>
        </w:p>
        <w:p w14:paraId="5C4D3473">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_Toc13199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9.1.9. </w:t>
          </w:r>
          <w:r>
            <w:rPr>
              <w:rFonts w:hint="eastAsia" w:ascii="宋体" w:hAnsi="宋体" w:eastAsia="宋体" w:cs="宋体"/>
              <w:szCs w:val="28"/>
              <w:lang w:val="en-US" w:eastAsia="zh-CN"/>
            </w:rPr>
            <w:t>组合交易设置</w:t>
          </w:r>
          <w:r>
            <w:tab/>
          </w:r>
          <w:r>
            <w:fldChar w:fldCharType="begin"/>
          </w:r>
          <w:r>
            <w:instrText xml:space="preserve"> PAGEREF _Toc13199 \h </w:instrText>
          </w:r>
          <w:r>
            <w:fldChar w:fldCharType="separate"/>
          </w:r>
          <w:r>
            <w:t>65</w:t>
          </w:r>
          <w:r>
            <w:fldChar w:fldCharType="end"/>
          </w:r>
          <w:r>
            <w:rPr>
              <w:rFonts w:hint="eastAsia" w:ascii="宋体" w:hAnsi="宋体" w:eastAsia="宋体" w:cs="宋体"/>
              <w:kern w:val="2"/>
              <w:szCs w:val="24"/>
              <w:lang w:val="en-US" w:eastAsia="zh-CN" w:bidi="ar-SA"/>
            </w:rPr>
            <w:fldChar w:fldCharType="end"/>
          </w:r>
        </w:p>
        <w:p w14:paraId="025D116B">
          <w:pPr>
            <w:pStyle w:val="18"/>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_Toc28778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28"/>
              <w:lang w:val="en-US" w:eastAsia="zh-CN"/>
            </w:rPr>
            <w:t xml:space="preserve">9.2. </w:t>
          </w:r>
          <w:r>
            <w:rPr>
              <w:rFonts w:hint="eastAsia" w:ascii="宋体" w:hAnsi="宋体" w:eastAsia="宋体" w:cs="宋体"/>
              <w:szCs w:val="28"/>
              <w:lang w:val="en-US" w:eastAsia="zh-CN"/>
            </w:rPr>
            <w:t>账号设置</w:t>
          </w:r>
          <w:r>
            <w:tab/>
          </w:r>
          <w:r>
            <w:fldChar w:fldCharType="begin"/>
          </w:r>
          <w:r>
            <w:instrText xml:space="preserve"> PAGEREF _Toc28778 \h </w:instrText>
          </w:r>
          <w:r>
            <w:fldChar w:fldCharType="separate"/>
          </w:r>
          <w:r>
            <w:t>65</w:t>
          </w:r>
          <w:r>
            <w:fldChar w:fldCharType="end"/>
          </w:r>
          <w:r>
            <w:rPr>
              <w:rFonts w:hint="eastAsia" w:ascii="宋体" w:hAnsi="宋体" w:eastAsia="宋体" w:cs="宋体"/>
              <w:kern w:val="2"/>
              <w:szCs w:val="24"/>
              <w:lang w:val="en-US" w:eastAsia="zh-CN" w:bidi="ar-SA"/>
            </w:rPr>
            <w:fldChar w:fldCharType="end"/>
          </w:r>
        </w:p>
        <w:p w14:paraId="3ADBD8E2">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_Toc3078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9.2.1. </w:t>
          </w:r>
          <w:r>
            <w:rPr>
              <w:rFonts w:hint="eastAsia" w:ascii="宋体" w:hAnsi="宋体" w:eastAsia="宋体" w:cs="宋体"/>
              <w:szCs w:val="28"/>
              <w:lang w:val="en-US" w:eastAsia="zh-CN"/>
            </w:rPr>
            <w:t>账号简称设置</w:t>
          </w:r>
          <w:r>
            <w:tab/>
          </w:r>
          <w:r>
            <w:fldChar w:fldCharType="begin"/>
          </w:r>
          <w:r>
            <w:instrText xml:space="preserve"> PAGEREF _Toc3078 \h </w:instrText>
          </w:r>
          <w:r>
            <w:fldChar w:fldCharType="separate"/>
          </w:r>
          <w:r>
            <w:t>65</w:t>
          </w:r>
          <w:r>
            <w:fldChar w:fldCharType="end"/>
          </w:r>
          <w:r>
            <w:rPr>
              <w:rFonts w:hint="eastAsia" w:ascii="宋体" w:hAnsi="宋体" w:eastAsia="宋体" w:cs="宋体"/>
              <w:kern w:val="2"/>
              <w:szCs w:val="24"/>
              <w:lang w:val="en-US" w:eastAsia="zh-CN" w:bidi="ar-SA"/>
            </w:rPr>
            <w:fldChar w:fldCharType="end"/>
          </w:r>
        </w:p>
        <w:p w14:paraId="6C694052">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_Toc11995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9.2.2. </w:t>
          </w:r>
          <w:r>
            <w:rPr>
              <w:rFonts w:hint="eastAsia" w:ascii="宋体" w:hAnsi="宋体" w:eastAsia="宋体" w:cs="宋体"/>
              <w:szCs w:val="28"/>
              <w:lang w:val="en-US" w:eastAsia="zh-CN"/>
            </w:rPr>
            <w:t>账号优先级设置</w:t>
          </w:r>
          <w:r>
            <w:tab/>
          </w:r>
          <w:r>
            <w:fldChar w:fldCharType="begin"/>
          </w:r>
          <w:r>
            <w:instrText xml:space="preserve"> PAGEREF _Toc11995 \h </w:instrText>
          </w:r>
          <w:r>
            <w:fldChar w:fldCharType="separate"/>
          </w:r>
          <w:r>
            <w:t>66</w:t>
          </w:r>
          <w:r>
            <w:fldChar w:fldCharType="end"/>
          </w:r>
          <w:r>
            <w:rPr>
              <w:rFonts w:hint="eastAsia" w:ascii="宋体" w:hAnsi="宋体" w:eastAsia="宋体" w:cs="宋体"/>
              <w:kern w:val="2"/>
              <w:szCs w:val="24"/>
              <w:lang w:val="en-US" w:eastAsia="zh-CN" w:bidi="ar-SA"/>
            </w:rPr>
            <w:fldChar w:fldCharType="end"/>
          </w:r>
        </w:p>
        <w:p w14:paraId="72974DE9">
          <w:pPr>
            <w:pStyle w:val="18"/>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_Toc24787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28"/>
              <w:lang w:val="en-US" w:eastAsia="zh-CN"/>
            </w:rPr>
            <w:t xml:space="preserve">9.3. </w:t>
          </w:r>
          <w:r>
            <w:rPr>
              <w:rFonts w:hint="eastAsia" w:ascii="宋体" w:hAnsi="宋体" w:eastAsia="宋体" w:cs="宋体"/>
              <w:szCs w:val="28"/>
              <w:lang w:val="en-US" w:eastAsia="zh-CN"/>
            </w:rPr>
            <w:t>密码设置</w:t>
          </w:r>
          <w:r>
            <w:tab/>
          </w:r>
          <w:r>
            <w:fldChar w:fldCharType="begin"/>
          </w:r>
          <w:r>
            <w:instrText xml:space="preserve"> PAGEREF _Toc24787 \h </w:instrText>
          </w:r>
          <w:r>
            <w:fldChar w:fldCharType="separate"/>
          </w:r>
          <w:r>
            <w:t>66</w:t>
          </w:r>
          <w:r>
            <w:fldChar w:fldCharType="end"/>
          </w:r>
          <w:r>
            <w:rPr>
              <w:rFonts w:hint="eastAsia" w:ascii="宋体" w:hAnsi="宋体" w:eastAsia="宋体" w:cs="宋体"/>
              <w:kern w:val="2"/>
              <w:szCs w:val="24"/>
              <w:lang w:val="en-US" w:eastAsia="zh-CN" w:bidi="ar-SA"/>
            </w:rPr>
            <w:fldChar w:fldCharType="end"/>
          </w:r>
        </w:p>
        <w:p w14:paraId="7FC34B31">
          <w:pPr>
            <w:pStyle w:val="18"/>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_Toc18738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28"/>
              <w:lang w:val="en-US" w:eastAsia="zh-CN"/>
            </w:rPr>
            <w:t xml:space="preserve">9.4. </w:t>
          </w:r>
          <w:r>
            <w:rPr>
              <w:rFonts w:hint="eastAsia" w:ascii="宋体" w:hAnsi="宋体" w:eastAsia="宋体" w:cs="宋体"/>
              <w:szCs w:val="28"/>
              <w:lang w:val="en-US" w:eastAsia="zh-CN"/>
            </w:rPr>
            <w:t>客户端设置</w:t>
          </w:r>
          <w:r>
            <w:tab/>
          </w:r>
          <w:r>
            <w:fldChar w:fldCharType="begin"/>
          </w:r>
          <w:r>
            <w:instrText xml:space="preserve"> PAGEREF _Toc18738 \h </w:instrText>
          </w:r>
          <w:r>
            <w:fldChar w:fldCharType="separate"/>
          </w:r>
          <w:r>
            <w:t>67</w:t>
          </w:r>
          <w:r>
            <w:fldChar w:fldCharType="end"/>
          </w:r>
          <w:r>
            <w:rPr>
              <w:rFonts w:hint="eastAsia" w:ascii="宋体" w:hAnsi="宋体" w:eastAsia="宋体" w:cs="宋体"/>
              <w:kern w:val="2"/>
              <w:szCs w:val="24"/>
              <w:lang w:val="en-US" w:eastAsia="zh-CN" w:bidi="ar-SA"/>
            </w:rPr>
            <w:fldChar w:fldCharType="end"/>
          </w:r>
        </w:p>
        <w:p w14:paraId="35E4E2D6">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_Toc27690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9.4.1. </w:t>
          </w:r>
          <w:r>
            <w:rPr>
              <w:rFonts w:hint="eastAsia" w:ascii="宋体" w:hAnsi="宋体" w:eastAsia="宋体" w:cs="宋体"/>
              <w:szCs w:val="28"/>
              <w:lang w:val="en-US" w:eastAsia="zh-CN"/>
            </w:rPr>
            <w:t>通用设置</w:t>
          </w:r>
          <w:r>
            <w:tab/>
          </w:r>
          <w:r>
            <w:fldChar w:fldCharType="begin"/>
          </w:r>
          <w:r>
            <w:instrText xml:space="preserve"> PAGEREF _Toc27690 \h </w:instrText>
          </w:r>
          <w:r>
            <w:fldChar w:fldCharType="separate"/>
          </w:r>
          <w:r>
            <w:t>67</w:t>
          </w:r>
          <w:r>
            <w:fldChar w:fldCharType="end"/>
          </w:r>
          <w:r>
            <w:rPr>
              <w:rFonts w:hint="eastAsia" w:ascii="宋体" w:hAnsi="宋体" w:eastAsia="宋体" w:cs="宋体"/>
              <w:kern w:val="2"/>
              <w:szCs w:val="24"/>
              <w:lang w:val="en-US" w:eastAsia="zh-CN" w:bidi="ar-SA"/>
            </w:rPr>
            <w:fldChar w:fldCharType="end"/>
          </w:r>
        </w:p>
        <w:p w14:paraId="7E9CBB9F">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_Toc10803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9.4.2. </w:t>
          </w:r>
          <w:r>
            <w:rPr>
              <w:rFonts w:hint="eastAsia" w:ascii="宋体" w:hAnsi="宋体" w:eastAsia="宋体" w:cs="宋体"/>
              <w:szCs w:val="28"/>
              <w:lang w:val="en-US" w:eastAsia="zh-CN"/>
            </w:rPr>
            <w:t>修改密码</w:t>
          </w:r>
          <w:r>
            <w:tab/>
          </w:r>
          <w:r>
            <w:fldChar w:fldCharType="begin"/>
          </w:r>
          <w:r>
            <w:instrText xml:space="preserve"> PAGEREF _Toc10803 \h </w:instrText>
          </w:r>
          <w:r>
            <w:fldChar w:fldCharType="separate"/>
          </w:r>
          <w:r>
            <w:t>67</w:t>
          </w:r>
          <w:r>
            <w:fldChar w:fldCharType="end"/>
          </w:r>
          <w:r>
            <w:rPr>
              <w:rFonts w:hint="eastAsia" w:ascii="宋体" w:hAnsi="宋体" w:eastAsia="宋体" w:cs="宋体"/>
              <w:kern w:val="2"/>
              <w:szCs w:val="24"/>
              <w:lang w:val="en-US" w:eastAsia="zh-CN" w:bidi="ar-SA"/>
            </w:rPr>
            <w:fldChar w:fldCharType="end"/>
          </w:r>
        </w:p>
        <w:p w14:paraId="239851C8">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_Toc2486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9.4.3. </w:t>
          </w:r>
          <w:r>
            <w:rPr>
              <w:rFonts w:hint="eastAsia" w:ascii="宋体" w:hAnsi="宋体" w:eastAsia="宋体" w:cs="宋体"/>
              <w:szCs w:val="28"/>
              <w:lang w:val="en-US" w:eastAsia="zh-CN"/>
            </w:rPr>
            <w:t>监控剪贴板</w:t>
          </w:r>
          <w:r>
            <w:tab/>
          </w:r>
          <w:r>
            <w:fldChar w:fldCharType="begin"/>
          </w:r>
          <w:r>
            <w:instrText xml:space="preserve"> PAGEREF _Toc2486 \h </w:instrText>
          </w:r>
          <w:r>
            <w:fldChar w:fldCharType="separate"/>
          </w:r>
          <w:r>
            <w:t>68</w:t>
          </w:r>
          <w:r>
            <w:fldChar w:fldCharType="end"/>
          </w:r>
          <w:r>
            <w:rPr>
              <w:rFonts w:hint="eastAsia" w:ascii="宋体" w:hAnsi="宋体" w:eastAsia="宋体" w:cs="宋体"/>
              <w:kern w:val="2"/>
              <w:szCs w:val="24"/>
              <w:lang w:val="en-US" w:eastAsia="zh-CN" w:bidi="ar-SA"/>
            </w:rPr>
            <w:fldChar w:fldCharType="end"/>
          </w:r>
        </w:p>
        <w:p w14:paraId="35DA0255">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_Toc13063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9.4.4. </w:t>
          </w:r>
          <w:r>
            <w:rPr>
              <w:rFonts w:hint="eastAsia" w:ascii="宋体" w:hAnsi="宋体" w:eastAsia="宋体" w:cs="宋体"/>
              <w:szCs w:val="28"/>
              <w:lang w:val="en-US" w:eastAsia="zh-CN"/>
            </w:rPr>
            <w:t>系统公告</w:t>
          </w:r>
          <w:r>
            <w:tab/>
          </w:r>
          <w:r>
            <w:fldChar w:fldCharType="begin"/>
          </w:r>
          <w:r>
            <w:instrText xml:space="preserve"> PAGEREF _Toc13063 \h </w:instrText>
          </w:r>
          <w:r>
            <w:fldChar w:fldCharType="separate"/>
          </w:r>
          <w:r>
            <w:t>68</w:t>
          </w:r>
          <w:r>
            <w:fldChar w:fldCharType="end"/>
          </w:r>
          <w:r>
            <w:rPr>
              <w:rFonts w:hint="eastAsia" w:ascii="宋体" w:hAnsi="宋体" w:eastAsia="宋体" w:cs="宋体"/>
              <w:kern w:val="2"/>
              <w:szCs w:val="24"/>
              <w:lang w:val="en-US" w:eastAsia="zh-CN" w:bidi="ar-SA"/>
            </w:rPr>
            <w:fldChar w:fldCharType="end"/>
          </w:r>
        </w:p>
        <w:p w14:paraId="68B379E1">
          <w:pPr>
            <w:pStyle w:val="15"/>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_Toc24956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bCs w:val="0"/>
              <w:szCs w:val="30"/>
              <w:lang w:val="en-US" w:eastAsia="zh-CN"/>
            </w:rPr>
            <w:t xml:space="preserve">10. </w:t>
          </w:r>
          <w:r>
            <w:rPr>
              <w:rFonts w:hint="eastAsia" w:ascii="宋体" w:hAnsi="宋体" w:eastAsia="宋体" w:cs="宋体"/>
              <w:bCs w:val="0"/>
              <w:szCs w:val="30"/>
              <w:lang w:val="en-US" w:eastAsia="zh-CN"/>
            </w:rPr>
            <w:t>下载中心</w:t>
          </w:r>
          <w:r>
            <w:tab/>
          </w:r>
          <w:r>
            <w:fldChar w:fldCharType="begin"/>
          </w:r>
          <w:r>
            <w:instrText xml:space="preserve"> PAGEREF _Toc24956 \h </w:instrText>
          </w:r>
          <w:r>
            <w:fldChar w:fldCharType="separate"/>
          </w:r>
          <w:r>
            <w:t>69</w:t>
          </w:r>
          <w:r>
            <w:fldChar w:fldCharType="end"/>
          </w:r>
          <w:r>
            <w:rPr>
              <w:rFonts w:hint="eastAsia" w:ascii="宋体" w:hAnsi="宋体" w:eastAsia="宋体" w:cs="宋体"/>
              <w:kern w:val="2"/>
              <w:szCs w:val="24"/>
              <w:lang w:val="en-US" w:eastAsia="zh-CN" w:bidi="ar-SA"/>
            </w:rPr>
            <w:fldChar w:fldCharType="end"/>
          </w:r>
        </w:p>
        <w:p w14:paraId="60ED27CF">
          <w:pPr>
            <w:rPr>
              <w:rFonts w:hint="eastAsia" w:ascii="宋体" w:hAnsi="宋体" w:eastAsia="宋体" w:cs="宋体"/>
              <w:kern w:val="2"/>
              <w:sz w:val="24"/>
              <w:szCs w:val="24"/>
              <w:lang w:val="en-US" w:eastAsia="zh-CN" w:bidi="ar-SA"/>
            </w:rPr>
          </w:pPr>
          <w:r>
            <w:rPr>
              <w:rFonts w:hint="eastAsia" w:ascii="宋体" w:hAnsi="宋体" w:eastAsia="宋体" w:cs="宋体"/>
              <w:kern w:val="2"/>
              <w:szCs w:val="24"/>
              <w:lang w:val="en-US" w:eastAsia="zh-CN" w:bidi="ar-SA"/>
            </w:rPr>
            <w:fldChar w:fldCharType="end"/>
          </w:r>
        </w:p>
      </w:sdtContent>
    </w:sdt>
    <w:p w14:paraId="30E78065">
      <w:pPr>
        <w:pStyle w:val="2"/>
        <w:keepNext/>
        <w:keepLines/>
        <w:pageBreakBefore w:val="0"/>
        <w:widowControl w:val="0"/>
        <w:numPr>
          <w:ilvl w:val="0"/>
          <w:numId w:val="1"/>
        </w:numPr>
        <w:kinsoku/>
        <w:wordWrap/>
        <w:overflowPunct/>
        <w:topLinePunct w:val="0"/>
        <w:autoSpaceDE/>
        <w:autoSpaceDN/>
        <w:bidi w:val="0"/>
        <w:adjustRightInd/>
        <w:snapToGrid/>
        <w:spacing w:before="240" w:after="240" w:line="240" w:lineRule="auto"/>
        <w:ind w:left="425" w:leftChars="0" w:hanging="425" w:firstLineChars="0"/>
        <w:textAlignment w:val="auto"/>
        <w:rPr>
          <w:rFonts w:hint="eastAsia" w:ascii="宋体" w:hAnsi="宋体" w:eastAsia="宋体" w:cs="宋体"/>
          <w:sz w:val="24"/>
          <w:szCs w:val="24"/>
          <w:lang w:val="en-US" w:eastAsia="zh-CN"/>
        </w:rPr>
        <w:sectPr>
          <w:footerReference r:id="rId5" w:type="default"/>
          <w:pgSz w:w="11906" w:h="16838"/>
          <w:pgMar w:top="1440" w:right="1800" w:bottom="1440" w:left="1800" w:header="851" w:footer="992" w:gutter="0"/>
          <w:pgNumType w:fmt="upperRoman" w:start="1"/>
          <w:cols w:space="425" w:num="1"/>
          <w:docGrid w:type="lines" w:linePitch="312" w:charSpace="0"/>
        </w:sectPr>
      </w:pPr>
      <w:bookmarkStart w:id="0" w:name="_Toc10514"/>
      <w:bookmarkStart w:id="1" w:name="_Toc32726"/>
    </w:p>
    <w:p w14:paraId="45A869D9">
      <w:pPr>
        <w:pStyle w:val="2"/>
        <w:keepNext/>
        <w:keepLines/>
        <w:pageBreakBefore w:val="0"/>
        <w:widowControl w:val="0"/>
        <w:numPr>
          <w:ilvl w:val="0"/>
          <w:numId w:val="2"/>
        </w:numPr>
        <w:kinsoku/>
        <w:wordWrap/>
        <w:overflowPunct/>
        <w:topLinePunct w:val="0"/>
        <w:autoSpaceDE/>
        <w:autoSpaceDN/>
        <w:bidi w:val="0"/>
        <w:adjustRightInd/>
        <w:snapToGrid/>
        <w:spacing w:before="240" w:after="240" w:line="240" w:lineRule="auto"/>
        <w:ind w:left="425" w:leftChars="0" w:hanging="425" w:firstLineChars="0"/>
        <w:textAlignment w:val="auto"/>
        <w:rPr>
          <w:rFonts w:hint="eastAsia" w:ascii="宋体" w:hAnsi="宋体" w:eastAsia="宋体" w:cs="宋体"/>
          <w:sz w:val="30"/>
          <w:szCs w:val="30"/>
          <w:lang w:val="en-US" w:eastAsia="zh-CN"/>
        </w:rPr>
      </w:pPr>
      <w:bookmarkStart w:id="2" w:name="_Toc24331"/>
      <w:r>
        <w:rPr>
          <w:rFonts w:hint="eastAsia" w:ascii="宋体" w:hAnsi="宋体" w:eastAsia="宋体" w:cs="宋体"/>
          <w:sz w:val="30"/>
          <w:szCs w:val="30"/>
          <w:lang w:val="en-US" w:eastAsia="zh-CN"/>
        </w:rPr>
        <w:t>下载</w:t>
      </w:r>
      <w:bookmarkEnd w:id="2"/>
    </w:p>
    <w:p w14:paraId="0FEAA8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在浏览器中打开：</w:t>
      </w:r>
    </w:p>
    <w:p w14:paraId="4B6471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"https://www.htfc.com/main/wsyyt/rjxz/matic/index.shtml?id=12892" </w:instrText>
      </w:r>
      <w:r>
        <w:rPr>
          <w:rFonts w:hint="eastAsia" w:ascii="宋体" w:hAnsi="宋体" w:eastAsia="宋体" w:cs="宋体"/>
          <w:lang w:val="en-US" w:eastAsia="zh-CN"/>
        </w:rPr>
        <w:fldChar w:fldCharType="separate"/>
      </w:r>
      <w:r>
        <w:rPr>
          <w:rStyle w:val="23"/>
          <w:rFonts w:hint="eastAsia" w:ascii="宋体" w:hAnsi="宋体" w:eastAsia="宋体" w:cs="宋体"/>
          <w:lang w:val="en-US" w:eastAsia="zh-CN"/>
        </w:rPr>
        <w:t>https://www.htfc.com/main/wsyyt/rjxz/matic/index.shtml?id=12892</w:t>
      </w:r>
      <w:r>
        <w:rPr>
          <w:rFonts w:hint="eastAsia" w:ascii="宋体" w:hAnsi="宋体" w:eastAsia="宋体" w:cs="宋体"/>
          <w:lang w:val="en-US" w:eastAsia="zh-CN"/>
        </w:rPr>
        <w:fldChar w:fldCharType="end"/>
      </w:r>
    </w:p>
    <w:p w14:paraId="5DFE1DC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drawing>
          <wp:inline distT="0" distB="0" distL="114300" distR="114300">
            <wp:extent cx="5266690" cy="2696845"/>
            <wp:effectExtent l="0" t="0" r="10160" b="825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266690" cy="2696845"/>
                    </a:xfrm>
                    <a:prstGeom prst="rect">
                      <a:avLst/>
                    </a:prstGeom>
                    <a:noFill/>
                    <a:ln>
                      <a:noFill/>
                    </a:ln>
                  </pic:spPr>
                </pic:pic>
              </a:graphicData>
            </a:graphic>
          </wp:inline>
        </w:drawing>
      </w:r>
    </w:p>
    <w:p w14:paraId="57BC86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点击软件下载，下载完成后，解压缩打开所下载的文件夹，点击“类型”选择“应用程序”，筛选出应用程序。</w:t>
      </w:r>
    </w:p>
    <w:p w14:paraId="2CC8224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drawing>
          <wp:inline distT="0" distB="0" distL="114300" distR="114300">
            <wp:extent cx="5269865" cy="3395345"/>
            <wp:effectExtent l="0" t="0" r="6985" b="146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3"/>
                    <a:stretch>
                      <a:fillRect/>
                    </a:stretch>
                  </pic:blipFill>
                  <pic:spPr>
                    <a:xfrm>
                      <a:off x="0" y="0"/>
                      <a:ext cx="5269865" cy="3395345"/>
                    </a:xfrm>
                    <a:prstGeom prst="rect">
                      <a:avLst/>
                    </a:prstGeom>
                    <a:noFill/>
                    <a:ln>
                      <a:noFill/>
                    </a:ln>
                  </pic:spPr>
                </pic:pic>
              </a:graphicData>
            </a:graphic>
          </wp:inline>
        </w:drawing>
      </w:r>
    </w:p>
    <w:p w14:paraId="65BE3A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双击“matic”程序，弹出提醒框，点击“更多信息”、“仍要运行”，即可打开MATIC客户端。</w:t>
      </w:r>
    </w:p>
    <w:p w14:paraId="0C64082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lang w:val="en-US" w:eastAsia="zh-CN"/>
        </w:rPr>
      </w:pPr>
      <w:r>
        <w:drawing>
          <wp:inline distT="0" distB="0" distL="114300" distR="114300">
            <wp:extent cx="2615565" cy="1459865"/>
            <wp:effectExtent l="0" t="0" r="13335" b="698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4"/>
                    <a:stretch>
                      <a:fillRect/>
                    </a:stretch>
                  </pic:blipFill>
                  <pic:spPr>
                    <a:xfrm>
                      <a:off x="0" y="0"/>
                      <a:ext cx="2615565" cy="1459865"/>
                    </a:xfrm>
                    <a:prstGeom prst="rect">
                      <a:avLst/>
                    </a:prstGeom>
                    <a:noFill/>
                    <a:ln>
                      <a:noFill/>
                    </a:ln>
                  </pic:spPr>
                </pic:pic>
              </a:graphicData>
            </a:graphic>
          </wp:inline>
        </w:drawing>
      </w:r>
      <w:r>
        <w:drawing>
          <wp:inline distT="0" distB="0" distL="114300" distR="114300">
            <wp:extent cx="2571115" cy="1435735"/>
            <wp:effectExtent l="0" t="0" r="635" b="1206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5"/>
                    <a:stretch>
                      <a:fillRect/>
                    </a:stretch>
                  </pic:blipFill>
                  <pic:spPr>
                    <a:xfrm>
                      <a:off x="0" y="0"/>
                      <a:ext cx="2571115" cy="1435735"/>
                    </a:xfrm>
                    <a:prstGeom prst="rect">
                      <a:avLst/>
                    </a:prstGeom>
                    <a:noFill/>
                    <a:ln>
                      <a:noFill/>
                    </a:ln>
                  </pic:spPr>
                </pic:pic>
              </a:graphicData>
            </a:graphic>
          </wp:inline>
        </w:drawing>
      </w:r>
    </w:p>
    <w:p w14:paraId="15346D2F">
      <w:pPr>
        <w:pStyle w:val="2"/>
        <w:keepNext/>
        <w:keepLines/>
        <w:pageBreakBefore w:val="0"/>
        <w:widowControl w:val="0"/>
        <w:numPr>
          <w:ilvl w:val="0"/>
          <w:numId w:val="2"/>
        </w:numPr>
        <w:kinsoku/>
        <w:wordWrap/>
        <w:overflowPunct/>
        <w:topLinePunct w:val="0"/>
        <w:autoSpaceDE/>
        <w:autoSpaceDN/>
        <w:bidi w:val="0"/>
        <w:adjustRightInd/>
        <w:snapToGrid/>
        <w:spacing w:before="240" w:after="240" w:line="240" w:lineRule="auto"/>
        <w:ind w:left="425" w:leftChars="0" w:hanging="425" w:firstLineChars="0"/>
        <w:textAlignment w:val="auto"/>
        <w:rPr>
          <w:rFonts w:hint="eastAsia" w:ascii="宋体" w:hAnsi="宋体" w:eastAsia="宋体" w:cs="宋体"/>
          <w:sz w:val="30"/>
          <w:szCs w:val="30"/>
          <w:lang w:val="en-US" w:eastAsia="zh-CN"/>
        </w:rPr>
      </w:pPr>
      <w:bookmarkStart w:id="3" w:name="_Toc7002"/>
      <w:r>
        <w:rPr>
          <w:rFonts w:hint="eastAsia" w:ascii="宋体" w:hAnsi="宋体" w:eastAsia="宋体" w:cs="宋体"/>
          <w:sz w:val="30"/>
          <w:szCs w:val="30"/>
          <w:lang w:val="en-US" w:eastAsia="zh-CN"/>
        </w:rPr>
        <w:t>注册</w:t>
      </w:r>
      <w:bookmarkEnd w:id="0"/>
      <w:bookmarkEnd w:id="1"/>
      <w:r>
        <w:rPr>
          <w:rFonts w:hint="eastAsia" w:ascii="宋体" w:hAnsi="宋体" w:eastAsia="宋体" w:cs="宋体"/>
          <w:sz w:val="30"/>
          <w:szCs w:val="30"/>
          <w:lang w:val="en-US" w:eastAsia="zh-CN"/>
        </w:rPr>
        <w:t>登录</w:t>
      </w:r>
      <w:bookmarkEnd w:id="3"/>
    </w:p>
    <w:p w14:paraId="43750D88">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30"/>
          <w:szCs w:val="30"/>
          <w:lang w:val="en-US" w:eastAsia="zh-CN"/>
        </w:rPr>
      </w:pPr>
      <w:bookmarkStart w:id="4" w:name="_Toc30967"/>
      <w:r>
        <w:rPr>
          <w:rFonts w:hint="eastAsia" w:ascii="宋体" w:hAnsi="宋体" w:eastAsia="宋体" w:cs="宋体"/>
          <w:sz w:val="30"/>
          <w:szCs w:val="30"/>
          <w:lang w:val="en-US" w:eastAsia="zh-CN"/>
        </w:rPr>
        <w:t>注册</w:t>
      </w:r>
      <w:bookmarkEnd w:id="4"/>
    </w:p>
    <w:p w14:paraId="3FB563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注册界面主要用于为普通投资者注册MATIC账号。具体操作步骤如下：</w:t>
      </w:r>
    </w:p>
    <w:p w14:paraId="253D6EC8">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打开MATIC客户端，进入登录界面；</w:t>
      </w:r>
    </w:p>
    <w:p w14:paraId="12413937">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点击左下角“注册账号”，弹出注册界面（如下）；</w:t>
      </w:r>
    </w:p>
    <w:p w14:paraId="08EADA0E">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输入手机号获取并填写验证码，设置密码，勾选同意隐私政策和用户协议，点击注册，即可注册MATIC账户；</w:t>
      </w:r>
    </w:p>
    <w:p w14:paraId="4966FB33">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注册完成后的，点击去登录，即可回到登录界面。</w:t>
      </w:r>
    </w:p>
    <w:p w14:paraId="058EB58D">
      <w:pPr>
        <w:jc w:val="center"/>
        <w:rPr>
          <w:rFonts w:hint="eastAsia" w:ascii="宋体" w:hAnsi="宋体" w:eastAsia="宋体" w:cs="宋体"/>
          <w:lang w:val="en-US" w:eastAsia="zh-CN"/>
        </w:rPr>
      </w:pPr>
      <w:r>
        <w:drawing>
          <wp:inline distT="0" distB="0" distL="114300" distR="114300">
            <wp:extent cx="2721610" cy="3721735"/>
            <wp:effectExtent l="0" t="0" r="2540" b="1206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6"/>
                    <a:stretch>
                      <a:fillRect/>
                    </a:stretch>
                  </pic:blipFill>
                  <pic:spPr>
                    <a:xfrm>
                      <a:off x="0" y="0"/>
                      <a:ext cx="2721610" cy="3721735"/>
                    </a:xfrm>
                    <a:prstGeom prst="rect">
                      <a:avLst/>
                    </a:prstGeom>
                    <a:noFill/>
                    <a:ln>
                      <a:noFill/>
                    </a:ln>
                  </pic:spPr>
                </pic:pic>
              </a:graphicData>
            </a:graphic>
          </wp:inline>
        </w:drawing>
      </w:r>
    </w:p>
    <w:p w14:paraId="51E5C1CF">
      <w:pPr>
        <w:rPr>
          <w:rFonts w:hint="eastAsia" w:ascii="宋体" w:hAnsi="宋体" w:eastAsia="宋体" w:cs="宋体"/>
          <w:lang w:val="en-US" w:eastAsia="zh-CN"/>
        </w:rPr>
      </w:pPr>
    </w:p>
    <w:p w14:paraId="58CBD241">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30"/>
          <w:szCs w:val="30"/>
          <w:lang w:val="en-US" w:eastAsia="zh-CN"/>
        </w:rPr>
      </w:pPr>
      <w:bookmarkStart w:id="5" w:name="_Toc8194"/>
      <w:bookmarkStart w:id="6" w:name="_Toc31984"/>
      <w:bookmarkStart w:id="7" w:name="_Toc29043"/>
      <w:r>
        <w:rPr>
          <w:rFonts w:hint="eastAsia" w:ascii="宋体" w:hAnsi="宋体" w:eastAsia="宋体" w:cs="宋体"/>
          <w:sz w:val="30"/>
          <w:szCs w:val="30"/>
          <w:lang w:val="en-US" w:eastAsia="zh-CN"/>
        </w:rPr>
        <w:t>登录</w:t>
      </w:r>
      <w:bookmarkEnd w:id="5"/>
      <w:bookmarkEnd w:id="6"/>
      <w:bookmarkEnd w:id="7"/>
    </w:p>
    <w:p w14:paraId="16360D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登录界面主要用于为已有MATIC账号的投资者输入用户名、密码登录使用系统。具体操作步骤如下：</w:t>
      </w:r>
    </w:p>
    <w:p w14:paraId="34460CE9">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在登录界面输入用户名和密码；</w:t>
      </w:r>
    </w:p>
    <w:p w14:paraId="3E86141C">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勾选同意隐私政策和用户协议；</w:t>
      </w:r>
    </w:p>
    <w:p w14:paraId="7486E765">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点击“登录”按钮，通过密码校验即可登录进入系统。</w:t>
      </w:r>
    </w:p>
    <w:p w14:paraId="579700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pPr>
      <w:r>
        <w:drawing>
          <wp:inline distT="0" distB="0" distL="114300" distR="114300">
            <wp:extent cx="5267325" cy="2880995"/>
            <wp:effectExtent l="0" t="0" r="9525" b="1460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7"/>
                    <a:stretch>
                      <a:fillRect/>
                    </a:stretch>
                  </pic:blipFill>
                  <pic:spPr>
                    <a:xfrm>
                      <a:off x="0" y="0"/>
                      <a:ext cx="5267325" cy="2880995"/>
                    </a:xfrm>
                    <a:prstGeom prst="rect">
                      <a:avLst/>
                    </a:prstGeom>
                    <a:noFill/>
                    <a:ln>
                      <a:noFill/>
                    </a:ln>
                  </pic:spPr>
                </pic:pic>
              </a:graphicData>
            </a:graphic>
          </wp:inline>
        </w:drawing>
      </w:r>
    </w:p>
    <w:p w14:paraId="543C7C9D">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30"/>
          <w:szCs w:val="30"/>
          <w:lang w:val="en-US" w:eastAsia="zh-CN"/>
        </w:rPr>
      </w:pPr>
      <w:bookmarkStart w:id="8" w:name="_Toc23874"/>
      <w:r>
        <w:rPr>
          <w:rFonts w:hint="eastAsia" w:ascii="宋体" w:hAnsi="宋体" w:eastAsia="宋体" w:cs="宋体"/>
          <w:sz w:val="30"/>
          <w:szCs w:val="30"/>
          <w:lang w:val="en-US" w:eastAsia="zh-CN"/>
        </w:rPr>
        <w:t>忘记密码</w:t>
      </w:r>
      <w:bookmarkEnd w:id="8"/>
    </w:p>
    <w:p w14:paraId="71F078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忘记密码界面主要用于为已注册过MATIC账号但忘记该账号密码的普通投资者重置密码。具体操作步骤如下：</w:t>
      </w:r>
    </w:p>
    <w:p w14:paraId="69F8E3F4">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点击MATIC客户端登录界面右下角“忘记密码”；</w:t>
      </w:r>
    </w:p>
    <w:p w14:paraId="04D89D1F">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弹出忘记密码界面（如下），输入手机号获取并填写验证码，重置密码（不能和原密码相同），勾选同意隐私政策和用户协议，点击确定，即可修改密码；</w:t>
      </w:r>
    </w:p>
    <w:p w14:paraId="14A180A7">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修改密码完成后的，点击去登录，即可回到登录界面。</w:t>
      </w:r>
    </w:p>
    <w:p w14:paraId="0BB29DF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lang w:val="en-US" w:eastAsia="zh-CN"/>
        </w:rPr>
      </w:pPr>
      <w:r>
        <w:drawing>
          <wp:inline distT="0" distB="0" distL="114300" distR="114300">
            <wp:extent cx="2649220" cy="3622675"/>
            <wp:effectExtent l="0" t="0" r="17780" b="15875"/>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18"/>
                    <a:stretch>
                      <a:fillRect/>
                    </a:stretch>
                  </pic:blipFill>
                  <pic:spPr>
                    <a:xfrm>
                      <a:off x="0" y="0"/>
                      <a:ext cx="2649220" cy="3622675"/>
                    </a:xfrm>
                    <a:prstGeom prst="rect">
                      <a:avLst/>
                    </a:prstGeom>
                    <a:noFill/>
                    <a:ln>
                      <a:noFill/>
                    </a:ln>
                  </pic:spPr>
                </pic:pic>
              </a:graphicData>
            </a:graphic>
          </wp:inline>
        </w:drawing>
      </w:r>
    </w:p>
    <w:p w14:paraId="05558761">
      <w:pPr>
        <w:pStyle w:val="2"/>
        <w:keepNext/>
        <w:keepLines/>
        <w:pageBreakBefore w:val="0"/>
        <w:widowControl w:val="0"/>
        <w:numPr>
          <w:ilvl w:val="0"/>
          <w:numId w:val="2"/>
        </w:numPr>
        <w:kinsoku/>
        <w:wordWrap/>
        <w:overflowPunct/>
        <w:topLinePunct w:val="0"/>
        <w:autoSpaceDE/>
        <w:autoSpaceDN/>
        <w:bidi w:val="0"/>
        <w:adjustRightInd/>
        <w:snapToGrid/>
        <w:spacing w:before="240" w:after="240" w:line="240" w:lineRule="auto"/>
        <w:ind w:left="425" w:leftChars="0" w:hanging="425" w:firstLineChars="0"/>
        <w:textAlignment w:val="auto"/>
        <w:rPr>
          <w:rFonts w:hint="eastAsia" w:ascii="宋体" w:hAnsi="宋体" w:eastAsia="宋体" w:cs="宋体"/>
          <w:sz w:val="30"/>
          <w:szCs w:val="30"/>
          <w:lang w:val="en-US" w:eastAsia="zh-CN"/>
        </w:rPr>
      </w:pPr>
      <w:bookmarkStart w:id="9" w:name="_Toc28549"/>
      <w:bookmarkStart w:id="10" w:name="_Toc12102"/>
      <w:bookmarkStart w:id="11" w:name="_Toc6012"/>
      <w:r>
        <w:rPr>
          <w:rFonts w:hint="eastAsia" w:ascii="宋体" w:hAnsi="宋体" w:eastAsia="宋体" w:cs="宋体"/>
          <w:sz w:val="30"/>
          <w:szCs w:val="30"/>
          <w:lang w:val="en-US" w:eastAsia="zh-CN"/>
        </w:rPr>
        <w:t>首页</w:t>
      </w:r>
      <w:bookmarkEnd w:id="9"/>
    </w:p>
    <w:p w14:paraId="0699F6F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首页展示7*24快讯资讯信息，信息实时更新，支持按照品种和特色栏目进行分类筛选。</w:t>
      </w:r>
    </w:p>
    <w:p w14:paraId="51C223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lang w:val="en-US" w:eastAsia="zh-CN"/>
        </w:rPr>
      </w:pPr>
      <w:r>
        <w:drawing>
          <wp:inline distT="0" distB="0" distL="114300" distR="114300">
            <wp:extent cx="5266690" cy="2830830"/>
            <wp:effectExtent l="0" t="0" r="1016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5266690" cy="2830830"/>
                    </a:xfrm>
                    <a:prstGeom prst="rect">
                      <a:avLst/>
                    </a:prstGeom>
                    <a:noFill/>
                    <a:ln>
                      <a:noFill/>
                    </a:ln>
                  </pic:spPr>
                </pic:pic>
              </a:graphicData>
            </a:graphic>
          </wp:inline>
        </w:drawing>
      </w:r>
    </w:p>
    <w:bookmarkEnd w:id="10"/>
    <w:bookmarkEnd w:id="11"/>
    <w:p w14:paraId="1A2D2B1D">
      <w:pPr>
        <w:pStyle w:val="2"/>
        <w:keepNext/>
        <w:keepLines/>
        <w:pageBreakBefore w:val="0"/>
        <w:widowControl w:val="0"/>
        <w:numPr>
          <w:ilvl w:val="0"/>
          <w:numId w:val="2"/>
        </w:numPr>
        <w:kinsoku/>
        <w:wordWrap/>
        <w:overflowPunct/>
        <w:topLinePunct w:val="0"/>
        <w:autoSpaceDE/>
        <w:autoSpaceDN/>
        <w:bidi w:val="0"/>
        <w:adjustRightInd/>
        <w:snapToGrid/>
        <w:spacing w:before="240" w:after="240" w:line="240" w:lineRule="auto"/>
        <w:ind w:left="425" w:leftChars="0" w:hanging="425" w:firstLineChars="0"/>
        <w:textAlignment w:val="auto"/>
        <w:rPr>
          <w:rFonts w:hint="eastAsia" w:ascii="宋体" w:hAnsi="宋体" w:eastAsia="宋体" w:cs="宋体"/>
          <w:sz w:val="30"/>
          <w:szCs w:val="30"/>
          <w:lang w:val="en-US" w:eastAsia="zh-CN"/>
        </w:rPr>
      </w:pPr>
      <w:bookmarkStart w:id="12" w:name="_Toc30533"/>
      <w:bookmarkStart w:id="13" w:name="_Toc32078"/>
      <w:bookmarkStart w:id="14" w:name="_Toc19822"/>
      <w:r>
        <w:rPr>
          <w:rFonts w:hint="eastAsia" w:ascii="宋体" w:hAnsi="宋体" w:eastAsia="宋体" w:cs="宋体"/>
          <w:sz w:val="30"/>
          <w:szCs w:val="30"/>
          <w:lang w:val="en-US" w:eastAsia="zh-CN"/>
        </w:rPr>
        <w:t>交易</w:t>
      </w:r>
      <w:bookmarkEnd w:id="12"/>
      <w:bookmarkEnd w:id="13"/>
      <w:bookmarkEnd w:id="14"/>
    </w:p>
    <w:p w14:paraId="3B6825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交易模块包含基础交易、特色交易、套利交易、指令流程和运营管理五个模块。其中基础交易模块包括普通交易、增强交易、期权交易、期货交易和期货期权交易模块，展示相应的行情信息、账户资产列表、持仓列表、委托列表和成交列表等信息。</w:t>
      </w:r>
    </w:p>
    <w:p w14:paraId="6279E990">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30"/>
          <w:szCs w:val="30"/>
          <w:lang w:val="en-US" w:eastAsia="zh-CN"/>
        </w:rPr>
      </w:pPr>
      <w:bookmarkStart w:id="15" w:name="_Toc23519"/>
      <w:r>
        <w:rPr>
          <w:rFonts w:hint="eastAsia" w:ascii="宋体" w:hAnsi="宋体" w:eastAsia="宋体" w:cs="宋体"/>
          <w:sz w:val="30"/>
          <w:szCs w:val="30"/>
          <w:lang w:val="en-US" w:eastAsia="zh-CN"/>
        </w:rPr>
        <w:t>基础交易</w:t>
      </w:r>
      <w:bookmarkEnd w:id="15"/>
    </w:p>
    <w:p w14:paraId="3D6195EC">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16" w:name="_Toc21551"/>
      <w:r>
        <w:rPr>
          <w:rFonts w:hint="eastAsia" w:ascii="宋体" w:hAnsi="宋体" w:eastAsia="宋体" w:cs="宋体"/>
          <w:sz w:val="28"/>
          <w:szCs w:val="28"/>
          <w:lang w:val="en-US" w:eastAsia="zh-CN"/>
        </w:rPr>
        <w:t>普通交易</w:t>
      </w:r>
      <w:bookmarkEnd w:id="16"/>
    </w:p>
    <w:p w14:paraId="6B481D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普通交易模块提供ETF基础交易功能，支持上交所、深交所上市的9只ETF标的的交易，具体包括：</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4301"/>
        <w:gridCol w:w="2841"/>
      </w:tblGrid>
      <w:tr w14:paraId="62D0D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Align w:val="center"/>
          </w:tcPr>
          <w:p w14:paraId="5EA86EF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b/>
                <w:bCs/>
                <w:highlight w:val="none"/>
                <w:vertAlign w:val="baseline"/>
                <w:lang w:val="en-US" w:eastAsia="zh-CN"/>
              </w:rPr>
            </w:pPr>
            <w:r>
              <w:rPr>
                <w:rFonts w:hint="eastAsia" w:ascii="宋体" w:hAnsi="宋体" w:eastAsia="宋体" w:cs="宋体"/>
                <w:b/>
                <w:bCs/>
                <w:highlight w:val="none"/>
                <w:vertAlign w:val="baseline"/>
                <w:lang w:val="en-US" w:eastAsia="zh-CN"/>
              </w:rPr>
              <w:t>交易所</w:t>
            </w:r>
          </w:p>
        </w:tc>
        <w:tc>
          <w:tcPr>
            <w:tcW w:w="4301" w:type="dxa"/>
            <w:vAlign w:val="center"/>
          </w:tcPr>
          <w:p w14:paraId="5507339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b/>
                <w:bCs/>
                <w:highlight w:val="none"/>
                <w:vertAlign w:val="baseline"/>
                <w:lang w:val="en-US" w:eastAsia="zh-CN"/>
              </w:rPr>
            </w:pPr>
            <w:r>
              <w:rPr>
                <w:rFonts w:hint="eastAsia" w:ascii="宋体" w:hAnsi="宋体" w:eastAsia="宋体" w:cs="宋体"/>
                <w:b/>
                <w:bCs/>
                <w:highlight w:val="none"/>
                <w:lang w:val="en-US" w:eastAsia="zh-CN"/>
              </w:rPr>
              <w:t>标的名称</w:t>
            </w:r>
          </w:p>
        </w:tc>
        <w:tc>
          <w:tcPr>
            <w:tcW w:w="2841" w:type="dxa"/>
            <w:vAlign w:val="center"/>
          </w:tcPr>
          <w:p w14:paraId="29DE0C9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b/>
                <w:bCs/>
                <w:highlight w:val="none"/>
                <w:vertAlign w:val="baseline"/>
                <w:lang w:val="en-US" w:eastAsia="zh-CN"/>
              </w:rPr>
            </w:pPr>
            <w:r>
              <w:rPr>
                <w:rFonts w:hint="eastAsia" w:ascii="宋体" w:hAnsi="宋体" w:eastAsia="宋体" w:cs="宋体"/>
                <w:b/>
                <w:bCs/>
                <w:highlight w:val="none"/>
                <w:vertAlign w:val="baseline"/>
                <w:lang w:val="en-US" w:eastAsia="zh-CN"/>
              </w:rPr>
              <w:t>标的证券代码</w:t>
            </w:r>
          </w:p>
        </w:tc>
      </w:tr>
      <w:tr w14:paraId="354A0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restart"/>
            <w:vAlign w:val="center"/>
          </w:tcPr>
          <w:p w14:paraId="29B4B20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上交所</w:t>
            </w:r>
          </w:p>
        </w:tc>
        <w:tc>
          <w:tcPr>
            <w:tcW w:w="4301" w:type="dxa"/>
            <w:vAlign w:val="center"/>
          </w:tcPr>
          <w:p w14:paraId="3BBA627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华夏上证50ETE</w:t>
            </w:r>
          </w:p>
        </w:tc>
        <w:tc>
          <w:tcPr>
            <w:tcW w:w="2841" w:type="dxa"/>
            <w:vAlign w:val="center"/>
          </w:tcPr>
          <w:p w14:paraId="364D5B5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510050  50ETF</w:t>
            </w:r>
          </w:p>
        </w:tc>
      </w:tr>
      <w:tr w14:paraId="375DA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continue"/>
            <w:vAlign w:val="center"/>
          </w:tcPr>
          <w:p w14:paraId="3ADCB25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p>
        </w:tc>
        <w:tc>
          <w:tcPr>
            <w:tcW w:w="4301" w:type="dxa"/>
            <w:vAlign w:val="center"/>
          </w:tcPr>
          <w:p w14:paraId="63C0E0B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华泰柏瑞沪深300ETE</w:t>
            </w:r>
          </w:p>
        </w:tc>
        <w:tc>
          <w:tcPr>
            <w:tcW w:w="2841" w:type="dxa"/>
            <w:vAlign w:val="center"/>
          </w:tcPr>
          <w:p w14:paraId="27C8B2C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510300  300ETF</w:t>
            </w:r>
          </w:p>
        </w:tc>
      </w:tr>
      <w:tr w14:paraId="41B6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continue"/>
            <w:vAlign w:val="center"/>
          </w:tcPr>
          <w:p w14:paraId="126743B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p>
        </w:tc>
        <w:tc>
          <w:tcPr>
            <w:tcW w:w="4301" w:type="dxa"/>
            <w:vAlign w:val="center"/>
          </w:tcPr>
          <w:p w14:paraId="6522AE4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南方中证500ETE</w:t>
            </w:r>
          </w:p>
        </w:tc>
        <w:tc>
          <w:tcPr>
            <w:tcW w:w="2841" w:type="dxa"/>
            <w:vAlign w:val="center"/>
          </w:tcPr>
          <w:p w14:paraId="1F5E9F6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510500  500ETF</w:t>
            </w:r>
          </w:p>
        </w:tc>
      </w:tr>
      <w:tr w14:paraId="7B754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continue"/>
            <w:vAlign w:val="center"/>
          </w:tcPr>
          <w:p w14:paraId="3049F05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p>
        </w:tc>
        <w:tc>
          <w:tcPr>
            <w:tcW w:w="4301" w:type="dxa"/>
            <w:vAlign w:val="center"/>
          </w:tcPr>
          <w:p w14:paraId="38309C2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华夏上证科创板50ETF</w:t>
            </w:r>
          </w:p>
        </w:tc>
        <w:tc>
          <w:tcPr>
            <w:tcW w:w="2841" w:type="dxa"/>
            <w:vAlign w:val="center"/>
          </w:tcPr>
          <w:p w14:paraId="2783812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588000  科创50</w:t>
            </w:r>
          </w:p>
        </w:tc>
      </w:tr>
      <w:tr w14:paraId="754B2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continue"/>
            <w:vAlign w:val="center"/>
          </w:tcPr>
          <w:p w14:paraId="15EE863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p>
        </w:tc>
        <w:tc>
          <w:tcPr>
            <w:tcW w:w="4301" w:type="dxa"/>
            <w:vAlign w:val="center"/>
          </w:tcPr>
          <w:p w14:paraId="5FEE13F2">
            <w:pPr>
              <w:keepNext w:val="0"/>
              <w:keepLines w:val="0"/>
              <w:pageBreakBefore w:val="0"/>
              <w:widowControl w:val="0"/>
              <w:numPr>
                <w:ilvl w:val="0"/>
                <w:numId w:val="0"/>
              </w:numPr>
              <w:tabs>
                <w:tab w:val="center" w:pos="2102"/>
                <w:tab w:val="right" w:pos="4085"/>
              </w:tabs>
              <w:kinsoku/>
              <w:wordWrap/>
              <w:overflowPunct/>
              <w:topLinePunct w:val="0"/>
              <w:autoSpaceDE/>
              <w:autoSpaceDN/>
              <w:bidi w:val="0"/>
              <w:adjustRightInd/>
              <w:snapToGrid/>
              <w:spacing w:line="24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ab/>
            </w:r>
            <w:r>
              <w:rPr>
                <w:rFonts w:hint="eastAsia" w:ascii="宋体" w:hAnsi="宋体" w:eastAsia="宋体" w:cs="宋体"/>
                <w:highlight w:val="none"/>
                <w:vertAlign w:val="baseline"/>
                <w:lang w:val="en-US" w:eastAsia="zh-CN"/>
              </w:rPr>
              <w:t>易方达上证科创板50ETE</w:t>
            </w:r>
          </w:p>
        </w:tc>
        <w:tc>
          <w:tcPr>
            <w:tcW w:w="2841" w:type="dxa"/>
            <w:vAlign w:val="center"/>
          </w:tcPr>
          <w:p w14:paraId="7DBD854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588080  科创板50</w:t>
            </w:r>
          </w:p>
        </w:tc>
      </w:tr>
      <w:tr w14:paraId="465DA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0" w:type="dxa"/>
            <w:vMerge w:val="restart"/>
            <w:vAlign w:val="center"/>
          </w:tcPr>
          <w:p w14:paraId="7458833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深交所</w:t>
            </w:r>
          </w:p>
        </w:tc>
        <w:tc>
          <w:tcPr>
            <w:tcW w:w="4301" w:type="dxa"/>
            <w:vAlign w:val="center"/>
          </w:tcPr>
          <w:p w14:paraId="464EE90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易方达深证100ETF</w:t>
            </w:r>
          </w:p>
        </w:tc>
        <w:tc>
          <w:tcPr>
            <w:tcW w:w="2841" w:type="dxa"/>
            <w:vAlign w:val="center"/>
          </w:tcPr>
          <w:p w14:paraId="5EEC74F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159901  深100ETF</w:t>
            </w:r>
          </w:p>
        </w:tc>
      </w:tr>
      <w:tr w14:paraId="4064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continue"/>
            <w:vAlign w:val="center"/>
          </w:tcPr>
          <w:p w14:paraId="20CBDAB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p>
        </w:tc>
        <w:tc>
          <w:tcPr>
            <w:tcW w:w="4301" w:type="dxa"/>
            <w:vAlign w:val="center"/>
          </w:tcPr>
          <w:p w14:paraId="38FE09E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易方达创业板ETF</w:t>
            </w:r>
          </w:p>
        </w:tc>
        <w:tc>
          <w:tcPr>
            <w:tcW w:w="2841" w:type="dxa"/>
            <w:vAlign w:val="center"/>
          </w:tcPr>
          <w:p w14:paraId="5ADC15C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159915  创业板</w:t>
            </w:r>
          </w:p>
        </w:tc>
      </w:tr>
      <w:tr w14:paraId="298E7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continue"/>
            <w:vAlign w:val="center"/>
          </w:tcPr>
          <w:p w14:paraId="5E6D61D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p>
        </w:tc>
        <w:tc>
          <w:tcPr>
            <w:tcW w:w="4301" w:type="dxa"/>
            <w:vAlign w:val="center"/>
          </w:tcPr>
          <w:p w14:paraId="1A14504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嘉实沪深300ETF</w:t>
            </w:r>
          </w:p>
        </w:tc>
        <w:tc>
          <w:tcPr>
            <w:tcW w:w="2841" w:type="dxa"/>
            <w:vAlign w:val="center"/>
          </w:tcPr>
          <w:p w14:paraId="04203AB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159919  沪深300</w:t>
            </w:r>
          </w:p>
        </w:tc>
      </w:tr>
      <w:tr w14:paraId="2A1EB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continue"/>
            <w:vAlign w:val="center"/>
          </w:tcPr>
          <w:p w14:paraId="74F6CC5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p>
        </w:tc>
        <w:tc>
          <w:tcPr>
            <w:tcW w:w="4301" w:type="dxa"/>
            <w:vAlign w:val="center"/>
          </w:tcPr>
          <w:p w14:paraId="5FD99E4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嘉实中证500ETF</w:t>
            </w:r>
          </w:p>
        </w:tc>
        <w:tc>
          <w:tcPr>
            <w:tcW w:w="2841" w:type="dxa"/>
            <w:vAlign w:val="center"/>
          </w:tcPr>
          <w:p w14:paraId="507E59F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159922  500ETF</w:t>
            </w:r>
          </w:p>
        </w:tc>
      </w:tr>
    </w:tbl>
    <w:p w14:paraId="271482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highlight w:val="none"/>
          <w:lang w:val="en-US" w:eastAsia="zh-CN"/>
        </w:rPr>
        <w:t>该模块包含：普通交易下单组件、持仓列表、账户资产列表、委托明细列表和成交明细</w:t>
      </w:r>
      <w:r>
        <w:rPr>
          <w:rFonts w:hint="eastAsia" w:ascii="宋体" w:hAnsi="宋体" w:eastAsia="宋体" w:cs="宋体"/>
          <w:lang w:val="en-US" w:eastAsia="zh-CN"/>
        </w:rPr>
        <w:t>列表。不同组件支持拖动、放大、缩小和伸缩，可自由布置组件布局。</w:t>
      </w:r>
    </w:p>
    <w:p w14:paraId="142D08BC">
      <w:pPr>
        <w:rPr>
          <w:rFonts w:hint="eastAsia" w:ascii="宋体" w:hAnsi="宋体" w:eastAsia="宋体" w:cs="宋体"/>
        </w:rPr>
      </w:pPr>
      <w:r>
        <w:rPr>
          <w:rFonts w:hint="eastAsia" w:ascii="宋体" w:hAnsi="宋体" w:eastAsia="宋体" w:cs="宋体"/>
        </w:rPr>
        <w:drawing>
          <wp:inline distT="0" distB="0" distL="114300" distR="114300">
            <wp:extent cx="5266690" cy="2666365"/>
            <wp:effectExtent l="0" t="0" r="0" b="0"/>
            <wp:docPr id="1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1"/>
                    <pic:cNvPicPr>
                      <a:picLocks noChangeAspect="1"/>
                    </pic:cNvPicPr>
                  </pic:nvPicPr>
                  <pic:blipFill>
                    <a:blip r:embed="rId20"/>
                    <a:srcRect t="6544"/>
                    <a:stretch>
                      <a:fillRect/>
                    </a:stretch>
                  </pic:blipFill>
                  <pic:spPr>
                    <a:xfrm>
                      <a:off x="0" y="0"/>
                      <a:ext cx="5266690" cy="2666365"/>
                    </a:xfrm>
                    <a:prstGeom prst="rect">
                      <a:avLst/>
                    </a:prstGeom>
                    <a:noFill/>
                    <a:ln>
                      <a:noFill/>
                    </a:ln>
                  </pic:spPr>
                </pic:pic>
              </a:graphicData>
            </a:graphic>
          </wp:inline>
        </w:drawing>
      </w:r>
    </w:p>
    <w:p w14:paraId="7B13ED7B">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普通交易下单</w:t>
      </w:r>
    </w:p>
    <w:p w14:paraId="2B8AA1D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普通交易下单组件，支持Level 2行情，包括十档盘口、标的静态信息、当前标的成交队列。</w:t>
      </w:r>
    </w:p>
    <w:p w14:paraId="04416406">
      <w:pPr>
        <w:numPr>
          <w:ilvl w:val="0"/>
          <w:numId w:val="0"/>
        </w:numPr>
        <w:ind w:leftChars="0"/>
        <w:jc w:val="center"/>
        <w:rPr>
          <w:rFonts w:hint="eastAsia" w:ascii="宋体" w:hAnsi="宋体" w:eastAsia="宋体" w:cs="宋体"/>
          <w:sz w:val="21"/>
          <w:szCs w:val="21"/>
          <w:lang w:val="en-US" w:eastAsia="zh-CN"/>
        </w:rPr>
      </w:pPr>
      <w:r>
        <w:rPr>
          <w:rFonts w:hint="eastAsia" w:ascii="宋体" w:hAnsi="宋体" w:eastAsia="宋体" w:cs="宋体"/>
        </w:rPr>
        <w:drawing>
          <wp:inline distT="0" distB="0" distL="114300" distR="114300">
            <wp:extent cx="5271770" cy="2760980"/>
            <wp:effectExtent l="0" t="0" r="6985" b="2540"/>
            <wp:docPr id="1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2"/>
                    <pic:cNvPicPr>
                      <a:picLocks noChangeAspect="1"/>
                    </pic:cNvPicPr>
                  </pic:nvPicPr>
                  <pic:blipFill>
                    <a:blip r:embed="rId21"/>
                    <a:stretch>
                      <a:fillRect/>
                    </a:stretch>
                  </pic:blipFill>
                  <pic:spPr>
                    <a:xfrm>
                      <a:off x="0" y="0"/>
                      <a:ext cx="5271770" cy="2760980"/>
                    </a:xfrm>
                    <a:prstGeom prst="rect">
                      <a:avLst/>
                    </a:prstGeom>
                    <a:noFill/>
                    <a:ln>
                      <a:noFill/>
                    </a:ln>
                  </pic:spPr>
                </pic:pic>
              </a:graphicData>
            </a:graphic>
          </wp:inline>
        </w:drawing>
      </w:r>
    </w:p>
    <w:p w14:paraId="2FD1D845">
      <w:pPr>
        <w:numPr>
          <w:ilvl w:val="0"/>
          <w:numId w:val="0"/>
        </w:numPr>
        <w:ind w:leftChars="0"/>
        <w:jc w:val="center"/>
        <w:rPr>
          <w:rFonts w:hint="eastAsia" w:ascii="宋体" w:hAnsi="宋体" w:eastAsia="宋体" w:cs="宋体"/>
        </w:rPr>
      </w:pPr>
    </w:p>
    <w:p w14:paraId="262467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lang w:val="en-US" w:eastAsia="zh-CN"/>
        </w:rPr>
        <w:t>下单面板各字段说明如下表：</w:t>
      </w:r>
    </w:p>
    <w:p w14:paraId="6616F96A">
      <w:pPr>
        <w:numPr>
          <w:ilvl w:val="0"/>
          <w:numId w:val="0"/>
        </w:numPr>
        <w:ind w:leftChars="0"/>
        <w:rPr>
          <w:rFonts w:hint="eastAsia" w:ascii="宋体" w:hAnsi="宋体" w:eastAsia="宋体" w:cs="宋体"/>
          <w:sz w:val="21"/>
          <w:szCs w:val="21"/>
          <w:lang w:val="en-US" w:eastAsia="zh-CN"/>
        </w:rPr>
      </w:pPr>
    </w:p>
    <w:tbl>
      <w:tblPr>
        <w:tblStyle w:val="20"/>
        <w:tblpPr w:vertAnchor="text" w:horzAnchor="page" w:tblpX="1800" w:tblpY="-270"/>
        <w:tblOverlap w:val="never"/>
        <w:tblW w:w="82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16"/>
        <w:gridCol w:w="6162"/>
      </w:tblGrid>
      <w:tr w14:paraId="03E77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2116" w:type="dxa"/>
          </w:tcPr>
          <w:p w14:paraId="47F32BAE">
            <w:pPr>
              <w:ind w:firstLine="112"/>
              <w:jc w:val="center"/>
              <w:rPr>
                <w:rFonts w:hint="eastAsia" w:ascii="宋体" w:hAnsi="宋体" w:eastAsia="宋体" w:cs="宋体"/>
                <w:b/>
                <w:bCs/>
                <w:color w:val="010302"/>
              </w:rPr>
            </w:pPr>
            <w:r>
              <w:rPr>
                <w:rFonts w:hint="eastAsia" w:ascii="宋体" w:hAnsi="宋体" w:eastAsia="宋体" w:cs="宋体"/>
                <w:b/>
                <w:bCs/>
                <w:color w:val="000000"/>
                <w:sz w:val="21"/>
                <w:szCs w:val="21"/>
              </w:rPr>
              <w:t>字段</w:t>
            </w:r>
            <w:r>
              <w:rPr>
                <w:rFonts w:hint="eastAsia" w:ascii="宋体" w:hAnsi="宋体" w:eastAsia="宋体" w:cs="宋体"/>
                <w:b/>
                <w:bCs/>
                <w:color w:val="000000"/>
                <w:spacing w:val="-2"/>
                <w:sz w:val="21"/>
                <w:szCs w:val="21"/>
              </w:rPr>
              <w:t>名</w:t>
            </w:r>
          </w:p>
        </w:tc>
        <w:tc>
          <w:tcPr>
            <w:tcW w:w="6162" w:type="dxa"/>
          </w:tcPr>
          <w:p w14:paraId="4FDBE40B">
            <w:pPr>
              <w:ind w:firstLine="113"/>
              <w:jc w:val="center"/>
              <w:rPr>
                <w:rFonts w:hint="eastAsia" w:ascii="宋体" w:hAnsi="宋体" w:eastAsia="宋体" w:cs="宋体"/>
                <w:b/>
                <w:bCs/>
                <w:color w:val="010302"/>
              </w:rPr>
            </w:pPr>
            <w:r>
              <w:rPr>
                <w:rFonts w:hint="eastAsia" w:ascii="宋体" w:hAnsi="宋体" w:eastAsia="宋体" w:cs="宋体"/>
                <w:b/>
                <w:bCs/>
                <w:color w:val="000000"/>
                <w:sz w:val="21"/>
                <w:szCs w:val="21"/>
              </w:rPr>
              <w:t>字段</w:t>
            </w:r>
            <w:r>
              <w:rPr>
                <w:rFonts w:hint="eastAsia" w:ascii="宋体" w:hAnsi="宋体" w:eastAsia="宋体" w:cs="宋体"/>
                <w:b/>
                <w:bCs/>
                <w:color w:val="000000"/>
                <w:spacing w:val="-2"/>
                <w:sz w:val="21"/>
                <w:szCs w:val="21"/>
              </w:rPr>
              <w:t>说明</w:t>
            </w:r>
          </w:p>
        </w:tc>
      </w:tr>
      <w:tr w14:paraId="4EC72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2116" w:type="dxa"/>
            <w:vAlign w:val="center"/>
          </w:tcPr>
          <w:p w14:paraId="1B30956D">
            <w:pPr>
              <w:ind w:firstLine="112"/>
              <w:jc w:val="center"/>
              <w:rPr>
                <w:rFonts w:hint="eastAsia" w:ascii="宋体" w:hAnsi="宋体" w:eastAsia="宋体" w:cs="宋体"/>
                <w:color w:val="010302"/>
              </w:rPr>
            </w:pPr>
            <w:r>
              <w:rPr>
                <w:rFonts w:hint="eastAsia" w:ascii="宋体" w:hAnsi="宋体" w:eastAsia="宋体" w:cs="宋体"/>
                <w:color w:val="000000"/>
                <w:sz w:val="21"/>
                <w:szCs w:val="21"/>
              </w:rPr>
              <w:t>资金</w:t>
            </w:r>
            <w:r>
              <w:rPr>
                <w:rFonts w:hint="eastAsia" w:ascii="宋体" w:hAnsi="宋体" w:eastAsia="宋体" w:cs="宋体"/>
                <w:color w:val="000000"/>
                <w:spacing w:val="-2"/>
                <w:sz w:val="21"/>
                <w:szCs w:val="21"/>
              </w:rPr>
              <w:t>账号</w:t>
            </w:r>
          </w:p>
        </w:tc>
        <w:tc>
          <w:tcPr>
            <w:tcW w:w="6162" w:type="dxa"/>
          </w:tcPr>
          <w:p w14:paraId="3907EBEE">
            <w:pPr>
              <w:rPr>
                <w:rFonts w:hint="eastAsia" w:ascii="宋体" w:hAnsi="宋体" w:eastAsia="宋体" w:cs="宋体"/>
                <w:color w:val="010302"/>
                <w:lang w:eastAsia="zh-CN"/>
              </w:rPr>
            </w:pPr>
            <w:r>
              <w:rPr>
                <w:rFonts w:hint="eastAsia" w:ascii="宋体" w:hAnsi="宋体" w:eastAsia="宋体" w:cs="宋体"/>
                <w:color w:val="000000"/>
                <w:sz w:val="21"/>
                <w:szCs w:val="21"/>
                <w:lang w:eastAsia="zh-CN"/>
              </w:rPr>
              <w:t>只支</w:t>
            </w:r>
            <w:r>
              <w:rPr>
                <w:rFonts w:hint="eastAsia" w:ascii="宋体" w:hAnsi="宋体" w:eastAsia="宋体" w:cs="宋体"/>
                <w:color w:val="000000"/>
                <w:spacing w:val="-2"/>
                <w:sz w:val="21"/>
                <w:szCs w:val="21"/>
                <w:lang w:eastAsia="zh-CN"/>
              </w:rPr>
              <w:t>持</w:t>
            </w:r>
            <w:r>
              <w:rPr>
                <w:rFonts w:hint="eastAsia" w:ascii="宋体" w:hAnsi="宋体" w:eastAsia="宋体" w:cs="宋体"/>
                <w:color w:val="000000"/>
                <w:sz w:val="21"/>
                <w:szCs w:val="21"/>
                <w:lang w:eastAsia="zh-CN"/>
              </w:rPr>
              <w:t>选</w:t>
            </w:r>
            <w:r>
              <w:rPr>
                <w:rFonts w:hint="eastAsia" w:ascii="宋体" w:hAnsi="宋体" w:eastAsia="宋体" w:cs="宋体"/>
                <w:color w:val="000000"/>
                <w:spacing w:val="-2"/>
                <w:sz w:val="21"/>
                <w:szCs w:val="21"/>
                <w:lang w:eastAsia="zh-CN"/>
              </w:rPr>
              <w:t>择</w:t>
            </w:r>
            <w:r>
              <w:rPr>
                <w:rFonts w:hint="eastAsia" w:ascii="宋体" w:hAnsi="宋体" w:eastAsia="宋体" w:cs="宋体"/>
                <w:color w:val="000000"/>
                <w:sz w:val="21"/>
                <w:szCs w:val="21"/>
                <w:lang w:eastAsia="zh-CN"/>
              </w:rPr>
              <w:t>当</w:t>
            </w:r>
            <w:r>
              <w:rPr>
                <w:rFonts w:hint="eastAsia" w:ascii="宋体" w:hAnsi="宋体" w:eastAsia="宋体" w:cs="宋体"/>
                <w:color w:val="000000"/>
                <w:spacing w:val="-2"/>
                <w:sz w:val="21"/>
                <w:szCs w:val="21"/>
                <w:lang w:eastAsia="zh-CN"/>
              </w:rPr>
              <w:t>前</w:t>
            </w:r>
            <w:r>
              <w:rPr>
                <w:rFonts w:hint="eastAsia" w:ascii="宋体" w:hAnsi="宋体" w:eastAsia="宋体" w:cs="宋体"/>
                <w:color w:val="000000"/>
                <w:sz w:val="21"/>
                <w:szCs w:val="21"/>
                <w:lang w:eastAsia="zh-CN"/>
              </w:rPr>
              <w:t>用</w:t>
            </w:r>
            <w:r>
              <w:rPr>
                <w:rFonts w:hint="eastAsia" w:ascii="宋体" w:hAnsi="宋体" w:eastAsia="宋体" w:cs="宋体"/>
                <w:color w:val="000000"/>
                <w:spacing w:val="-2"/>
                <w:sz w:val="21"/>
                <w:szCs w:val="21"/>
                <w:lang w:eastAsia="zh-CN"/>
              </w:rPr>
              <w:t>户</w:t>
            </w:r>
            <w:r>
              <w:rPr>
                <w:rFonts w:hint="eastAsia" w:ascii="宋体" w:hAnsi="宋体" w:eastAsia="宋体" w:cs="宋体"/>
                <w:color w:val="000000"/>
                <w:sz w:val="21"/>
                <w:szCs w:val="21"/>
                <w:lang w:eastAsia="zh-CN"/>
              </w:rPr>
              <w:t>已</w:t>
            </w:r>
            <w:r>
              <w:rPr>
                <w:rFonts w:hint="eastAsia" w:ascii="宋体" w:hAnsi="宋体" w:eastAsia="宋体" w:cs="宋体"/>
                <w:color w:val="000000"/>
                <w:spacing w:val="-2"/>
                <w:sz w:val="21"/>
                <w:szCs w:val="21"/>
                <w:lang w:eastAsia="zh-CN"/>
              </w:rPr>
              <w:t>授</w:t>
            </w:r>
            <w:r>
              <w:rPr>
                <w:rFonts w:hint="eastAsia" w:ascii="宋体" w:hAnsi="宋体" w:eastAsia="宋体" w:cs="宋体"/>
                <w:color w:val="000000"/>
                <w:sz w:val="21"/>
                <w:szCs w:val="21"/>
                <w:lang w:eastAsia="zh-CN"/>
              </w:rPr>
              <w:t>权且</w:t>
            </w:r>
            <w:r>
              <w:rPr>
                <w:rFonts w:hint="eastAsia" w:ascii="宋体" w:hAnsi="宋体" w:eastAsia="宋体" w:cs="宋体"/>
                <w:color w:val="000000"/>
                <w:spacing w:val="-2"/>
                <w:sz w:val="21"/>
                <w:szCs w:val="21"/>
                <w:lang w:eastAsia="zh-CN"/>
              </w:rPr>
              <w:t>密</w:t>
            </w:r>
            <w:r>
              <w:rPr>
                <w:rFonts w:hint="eastAsia" w:ascii="宋体" w:hAnsi="宋体" w:eastAsia="宋体" w:cs="宋体"/>
                <w:color w:val="000000"/>
                <w:sz w:val="21"/>
                <w:szCs w:val="21"/>
                <w:lang w:eastAsia="zh-CN"/>
              </w:rPr>
              <w:t>码</w:t>
            </w:r>
            <w:r>
              <w:rPr>
                <w:rFonts w:hint="eastAsia" w:ascii="宋体" w:hAnsi="宋体" w:eastAsia="宋体" w:cs="宋体"/>
                <w:color w:val="000000"/>
                <w:spacing w:val="-2"/>
                <w:sz w:val="21"/>
                <w:szCs w:val="21"/>
                <w:lang w:eastAsia="zh-CN"/>
              </w:rPr>
              <w:t>检</w:t>
            </w:r>
            <w:r>
              <w:rPr>
                <w:rFonts w:hint="eastAsia" w:ascii="宋体" w:hAnsi="宋体" w:eastAsia="宋体" w:cs="宋体"/>
                <w:color w:val="000000"/>
                <w:sz w:val="21"/>
                <w:szCs w:val="21"/>
                <w:lang w:eastAsia="zh-CN"/>
              </w:rPr>
              <w:t>验</w:t>
            </w:r>
            <w:r>
              <w:rPr>
                <w:rFonts w:hint="eastAsia" w:ascii="宋体" w:hAnsi="宋体" w:eastAsia="宋体" w:cs="宋体"/>
                <w:color w:val="000000"/>
                <w:spacing w:val="-2"/>
                <w:sz w:val="21"/>
                <w:szCs w:val="21"/>
                <w:lang w:eastAsia="zh-CN"/>
              </w:rPr>
              <w:t>通</w:t>
            </w:r>
            <w:r>
              <w:rPr>
                <w:rFonts w:hint="eastAsia" w:ascii="宋体" w:hAnsi="宋体" w:eastAsia="宋体" w:cs="宋体"/>
                <w:color w:val="000000"/>
                <w:sz w:val="21"/>
                <w:szCs w:val="21"/>
                <w:lang w:eastAsia="zh-CN"/>
              </w:rPr>
              <w:t>过</w:t>
            </w:r>
            <w:r>
              <w:rPr>
                <w:rFonts w:hint="eastAsia" w:ascii="宋体" w:hAnsi="宋体" w:eastAsia="宋体" w:cs="宋体"/>
                <w:color w:val="000000"/>
                <w:spacing w:val="-2"/>
                <w:sz w:val="21"/>
                <w:szCs w:val="21"/>
                <w:lang w:eastAsia="zh-CN"/>
              </w:rPr>
              <w:t>的</w:t>
            </w:r>
            <w:r>
              <w:rPr>
                <w:rFonts w:hint="eastAsia" w:ascii="宋体" w:hAnsi="宋体" w:eastAsia="宋体" w:cs="宋体"/>
                <w:color w:val="000000"/>
                <w:sz w:val="21"/>
                <w:szCs w:val="21"/>
                <w:lang w:eastAsia="zh-CN"/>
              </w:rPr>
              <w:t>普</w:t>
            </w:r>
            <w:r>
              <w:rPr>
                <w:rFonts w:hint="eastAsia" w:ascii="宋体" w:hAnsi="宋体" w:eastAsia="宋体" w:cs="宋体"/>
                <w:color w:val="000000"/>
                <w:spacing w:val="-2"/>
                <w:sz w:val="21"/>
                <w:szCs w:val="21"/>
                <w:lang w:eastAsia="zh-CN"/>
              </w:rPr>
              <w:t>通</w:t>
            </w:r>
            <w:r>
              <w:rPr>
                <w:rFonts w:hint="eastAsia" w:ascii="宋体" w:hAnsi="宋体" w:eastAsia="宋体" w:cs="宋体"/>
                <w:color w:val="000000"/>
                <w:sz w:val="21"/>
                <w:szCs w:val="21"/>
                <w:lang w:eastAsia="zh-CN"/>
              </w:rPr>
              <w:t>资金</w:t>
            </w:r>
            <w:r>
              <w:rPr>
                <w:rFonts w:hint="eastAsia" w:ascii="宋体" w:hAnsi="宋体" w:eastAsia="宋体" w:cs="宋体"/>
                <w:color w:val="000000"/>
                <w:spacing w:val="-2"/>
                <w:sz w:val="21"/>
                <w:szCs w:val="21"/>
                <w:lang w:eastAsia="zh-CN"/>
              </w:rPr>
              <w:t>账号</w:t>
            </w:r>
            <w:r>
              <w:rPr>
                <w:rFonts w:hint="eastAsia" w:ascii="宋体" w:hAnsi="宋体" w:eastAsia="宋体" w:cs="宋体"/>
                <w:color w:val="000000"/>
                <w:sz w:val="21"/>
                <w:szCs w:val="21"/>
                <w:lang w:eastAsia="zh-CN"/>
              </w:rPr>
              <w:t xml:space="preserve">  </w:t>
            </w:r>
          </w:p>
        </w:tc>
      </w:tr>
      <w:tr w14:paraId="552BF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2116" w:type="dxa"/>
            <w:vAlign w:val="center"/>
          </w:tcPr>
          <w:p w14:paraId="56BBC0AA">
            <w:pPr>
              <w:ind w:firstLine="112"/>
              <w:jc w:val="center"/>
              <w:rPr>
                <w:rFonts w:hint="eastAsia" w:ascii="宋体" w:hAnsi="宋体" w:eastAsia="宋体" w:cs="宋体"/>
                <w:color w:val="010302"/>
              </w:rPr>
            </w:pPr>
            <w:r>
              <w:rPr>
                <w:rFonts w:hint="eastAsia" w:ascii="宋体" w:hAnsi="宋体" w:eastAsia="宋体" w:cs="宋体"/>
                <w:color w:val="000000"/>
                <w:sz w:val="21"/>
                <w:szCs w:val="21"/>
              </w:rPr>
              <w:t>证券</w:t>
            </w:r>
            <w:r>
              <w:rPr>
                <w:rFonts w:hint="eastAsia" w:ascii="宋体" w:hAnsi="宋体" w:eastAsia="宋体" w:cs="宋体"/>
                <w:color w:val="000000"/>
                <w:spacing w:val="-2"/>
                <w:sz w:val="21"/>
                <w:szCs w:val="21"/>
              </w:rPr>
              <w:t>代码</w:t>
            </w:r>
          </w:p>
        </w:tc>
        <w:tc>
          <w:tcPr>
            <w:tcW w:w="6162" w:type="dxa"/>
          </w:tcPr>
          <w:p w14:paraId="2A91C7A2">
            <w:pPr>
              <w:rPr>
                <w:rFonts w:hint="eastAsia" w:ascii="宋体" w:hAnsi="宋体" w:eastAsia="宋体" w:cs="宋体"/>
                <w:color w:val="010302"/>
                <w:lang w:val="en-US" w:eastAsia="zh-CN"/>
              </w:rPr>
            </w:pPr>
            <w:r>
              <w:rPr>
                <w:rFonts w:hint="eastAsia" w:ascii="宋体" w:hAnsi="宋体" w:eastAsia="宋体" w:cs="宋体"/>
                <w:color w:val="000000"/>
                <w:sz w:val="21"/>
                <w:szCs w:val="21"/>
                <w:lang w:eastAsia="zh-CN"/>
              </w:rPr>
              <w:t>支持</w:t>
            </w:r>
            <w:r>
              <w:rPr>
                <w:rFonts w:hint="eastAsia" w:ascii="宋体" w:hAnsi="宋体" w:eastAsia="宋体" w:cs="宋体"/>
                <w:color w:val="000000"/>
                <w:spacing w:val="-2"/>
                <w:sz w:val="21"/>
                <w:szCs w:val="21"/>
                <w:lang w:eastAsia="zh-CN"/>
              </w:rPr>
              <w:t>上</w:t>
            </w:r>
            <w:r>
              <w:rPr>
                <w:rFonts w:hint="eastAsia" w:ascii="宋体" w:hAnsi="宋体" w:eastAsia="宋体" w:cs="宋体"/>
                <w:color w:val="000000"/>
                <w:sz w:val="21"/>
                <w:szCs w:val="21"/>
                <w:lang w:eastAsia="zh-CN"/>
              </w:rPr>
              <w:t>交</w:t>
            </w:r>
            <w:r>
              <w:rPr>
                <w:rFonts w:hint="eastAsia" w:ascii="宋体" w:hAnsi="宋体" w:eastAsia="宋体" w:cs="宋体"/>
                <w:color w:val="000000"/>
                <w:spacing w:val="-2"/>
                <w:sz w:val="21"/>
                <w:szCs w:val="21"/>
                <w:lang w:eastAsia="zh-CN"/>
              </w:rPr>
              <w:t>所</w:t>
            </w:r>
            <w:r>
              <w:rPr>
                <w:rFonts w:hint="eastAsia" w:ascii="宋体" w:hAnsi="宋体" w:eastAsia="宋体" w:cs="宋体"/>
                <w:color w:val="000000"/>
                <w:sz w:val="21"/>
                <w:szCs w:val="21"/>
                <w:lang w:eastAsia="zh-CN"/>
              </w:rPr>
              <w:t>、</w:t>
            </w:r>
            <w:r>
              <w:rPr>
                <w:rFonts w:hint="eastAsia" w:ascii="宋体" w:hAnsi="宋体" w:eastAsia="宋体" w:cs="宋体"/>
                <w:color w:val="000000"/>
                <w:spacing w:val="-2"/>
                <w:sz w:val="21"/>
                <w:szCs w:val="21"/>
                <w:lang w:eastAsia="zh-CN"/>
              </w:rPr>
              <w:t>深</w:t>
            </w:r>
            <w:r>
              <w:rPr>
                <w:rFonts w:hint="eastAsia" w:ascii="宋体" w:hAnsi="宋体" w:eastAsia="宋体" w:cs="宋体"/>
                <w:color w:val="000000"/>
                <w:sz w:val="21"/>
                <w:szCs w:val="21"/>
                <w:lang w:eastAsia="zh-CN"/>
              </w:rPr>
              <w:t>交</w:t>
            </w:r>
            <w:r>
              <w:rPr>
                <w:rFonts w:hint="eastAsia" w:ascii="宋体" w:hAnsi="宋体" w:eastAsia="宋体" w:cs="宋体"/>
                <w:color w:val="000000"/>
                <w:spacing w:val="-2"/>
                <w:sz w:val="21"/>
                <w:szCs w:val="21"/>
                <w:lang w:eastAsia="zh-CN"/>
              </w:rPr>
              <w:t>所</w:t>
            </w:r>
            <w:r>
              <w:rPr>
                <w:rFonts w:hint="eastAsia" w:ascii="宋体" w:hAnsi="宋体" w:eastAsia="宋体" w:cs="宋体"/>
                <w:color w:val="000000"/>
                <w:sz w:val="21"/>
                <w:szCs w:val="21"/>
                <w:lang w:eastAsia="zh-CN"/>
              </w:rPr>
              <w:t>ETF基</w:t>
            </w:r>
            <w:r>
              <w:rPr>
                <w:rFonts w:hint="eastAsia" w:ascii="宋体" w:hAnsi="宋体" w:eastAsia="宋体" w:cs="宋体"/>
                <w:color w:val="000000"/>
                <w:spacing w:val="-2"/>
                <w:sz w:val="21"/>
                <w:szCs w:val="21"/>
                <w:lang w:eastAsia="zh-CN"/>
              </w:rPr>
              <w:t>金</w:t>
            </w:r>
            <w:r>
              <w:rPr>
                <w:rFonts w:hint="eastAsia" w:ascii="宋体" w:hAnsi="宋体" w:eastAsia="宋体" w:cs="宋体"/>
                <w:color w:val="000000"/>
                <w:sz w:val="21"/>
                <w:szCs w:val="21"/>
                <w:lang w:eastAsia="zh-CN"/>
              </w:rPr>
              <w:t>代</w:t>
            </w:r>
            <w:r>
              <w:rPr>
                <w:rFonts w:hint="eastAsia" w:ascii="宋体" w:hAnsi="宋体" w:eastAsia="宋体" w:cs="宋体"/>
                <w:color w:val="000000"/>
                <w:spacing w:val="-2"/>
                <w:sz w:val="21"/>
                <w:szCs w:val="21"/>
                <w:lang w:eastAsia="zh-CN"/>
              </w:rPr>
              <w:t>码</w:t>
            </w:r>
            <w:r>
              <w:rPr>
                <w:rFonts w:hint="eastAsia" w:ascii="宋体" w:hAnsi="宋体" w:eastAsia="宋体" w:cs="宋体"/>
                <w:color w:val="000000"/>
                <w:sz w:val="21"/>
                <w:szCs w:val="21"/>
                <w:lang w:eastAsia="zh-CN"/>
              </w:rPr>
              <w:t xml:space="preserve"> ，</w:t>
            </w:r>
            <w:r>
              <w:rPr>
                <w:rFonts w:hint="eastAsia" w:ascii="宋体" w:hAnsi="宋体" w:eastAsia="宋体" w:cs="宋体"/>
                <w:color w:val="000000"/>
                <w:sz w:val="21"/>
                <w:szCs w:val="21"/>
                <w:lang w:val="en-US" w:eastAsia="zh-CN"/>
              </w:rPr>
              <w:t>支持模糊匹配输入内容。输入代码后，展示对应的基金名称</w:t>
            </w:r>
          </w:p>
        </w:tc>
      </w:tr>
      <w:tr w14:paraId="7B038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2116" w:type="dxa"/>
            <w:vAlign w:val="center"/>
          </w:tcPr>
          <w:p w14:paraId="7EC65C07">
            <w:pPr>
              <w:spacing w:before="19"/>
              <w:ind w:firstLine="112"/>
              <w:jc w:val="center"/>
              <w:rPr>
                <w:rFonts w:hint="eastAsia" w:ascii="宋体" w:hAnsi="宋体" w:eastAsia="宋体" w:cs="宋体"/>
                <w:color w:val="010302"/>
              </w:rPr>
            </w:pPr>
            <w:r>
              <w:rPr>
                <w:rFonts w:hint="eastAsia" w:ascii="宋体" w:hAnsi="宋体" w:eastAsia="宋体" w:cs="宋体"/>
                <w:color w:val="000000"/>
                <w:sz w:val="21"/>
                <w:szCs w:val="21"/>
              </w:rPr>
              <w:t>委托</w:t>
            </w:r>
            <w:r>
              <w:rPr>
                <w:rFonts w:hint="eastAsia" w:ascii="宋体" w:hAnsi="宋体" w:eastAsia="宋体" w:cs="宋体"/>
                <w:color w:val="000000"/>
                <w:spacing w:val="-2"/>
                <w:sz w:val="21"/>
                <w:szCs w:val="21"/>
              </w:rPr>
              <w:t>方向</w:t>
            </w:r>
          </w:p>
        </w:tc>
        <w:tc>
          <w:tcPr>
            <w:tcW w:w="6162" w:type="dxa"/>
          </w:tcPr>
          <w:p w14:paraId="38897076">
            <w:pPr>
              <w:spacing w:before="19"/>
              <w:rPr>
                <w:rFonts w:hint="eastAsia" w:ascii="宋体" w:hAnsi="宋体" w:eastAsia="宋体" w:cs="宋体"/>
                <w:color w:val="010302"/>
                <w:lang w:eastAsia="zh-CN"/>
              </w:rPr>
            </w:pPr>
            <w:r>
              <w:rPr>
                <w:rFonts w:hint="eastAsia" w:ascii="宋体" w:hAnsi="宋体" w:eastAsia="宋体" w:cs="宋体"/>
                <w:color w:val="000000"/>
                <w:sz w:val="21"/>
                <w:szCs w:val="21"/>
                <w:lang w:eastAsia="zh-CN"/>
              </w:rPr>
              <w:t>支持</w:t>
            </w:r>
            <w:r>
              <w:rPr>
                <w:rFonts w:hint="eastAsia" w:ascii="宋体" w:hAnsi="宋体" w:eastAsia="宋体" w:cs="宋体"/>
                <w:color w:val="000000"/>
                <w:spacing w:val="-2"/>
                <w:sz w:val="21"/>
                <w:szCs w:val="21"/>
                <w:lang w:eastAsia="zh-CN"/>
              </w:rPr>
              <w:t>买</w:t>
            </w:r>
            <w:r>
              <w:rPr>
                <w:rFonts w:hint="eastAsia" w:ascii="宋体" w:hAnsi="宋体" w:eastAsia="宋体" w:cs="宋体"/>
                <w:color w:val="000000"/>
                <w:sz w:val="21"/>
                <w:szCs w:val="21"/>
                <w:lang w:eastAsia="zh-CN"/>
              </w:rPr>
              <w:t>入</w:t>
            </w:r>
            <w:r>
              <w:rPr>
                <w:rFonts w:hint="eastAsia" w:ascii="宋体" w:hAnsi="宋体" w:eastAsia="宋体" w:cs="宋体"/>
                <w:color w:val="000000"/>
                <w:spacing w:val="-2"/>
                <w:sz w:val="21"/>
                <w:szCs w:val="21"/>
                <w:lang w:eastAsia="zh-CN"/>
              </w:rPr>
              <w:t>、</w:t>
            </w:r>
            <w:r>
              <w:rPr>
                <w:rFonts w:hint="eastAsia" w:ascii="宋体" w:hAnsi="宋体" w:eastAsia="宋体" w:cs="宋体"/>
                <w:color w:val="000000"/>
                <w:sz w:val="21"/>
                <w:szCs w:val="21"/>
                <w:lang w:eastAsia="zh-CN"/>
              </w:rPr>
              <w:t>卖</w:t>
            </w:r>
            <w:r>
              <w:rPr>
                <w:rFonts w:hint="eastAsia" w:ascii="宋体" w:hAnsi="宋体" w:eastAsia="宋体" w:cs="宋体"/>
                <w:color w:val="000000"/>
                <w:spacing w:val="-2"/>
                <w:sz w:val="21"/>
                <w:szCs w:val="21"/>
                <w:lang w:eastAsia="zh-CN"/>
              </w:rPr>
              <w:t>出</w:t>
            </w:r>
            <w:r>
              <w:rPr>
                <w:rFonts w:hint="eastAsia" w:ascii="宋体" w:hAnsi="宋体" w:eastAsia="宋体" w:cs="宋体"/>
                <w:color w:val="000000"/>
                <w:sz w:val="21"/>
                <w:szCs w:val="21"/>
                <w:lang w:eastAsia="zh-CN"/>
              </w:rPr>
              <w:t xml:space="preserve">  </w:t>
            </w:r>
          </w:p>
        </w:tc>
      </w:tr>
      <w:tr w14:paraId="7D20A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1" w:hRule="atLeast"/>
        </w:trPr>
        <w:tc>
          <w:tcPr>
            <w:tcW w:w="2116" w:type="dxa"/>
            <w:vAlign w:val="center"/>
          </w:tcPr>
          <w:p w14:paraId="3120EB4E">
            <w:pPr>
              <w:spacing w:before="16"/>
              <w:ind w:firstLine="112"/>
              <w:jc w:val="center"/>
              <w:rPr>
                <w:rFonts w:hint="eastAsia" w:ascii="宋体" w:hAnsi="宋体" w:eastAsia="宋体" w:cs="宋体"/>
                <w:color w:val="010302"/>
              </w:rPr>
            </w:pPr>
            <w:r>
              <w:rPr>
                <w:rFonts w:hint="eastAsia" w:ascii="宋体" w:hAnsi="宋体" w:eastAsia="宋体" w:cs="宋体"/>
                <w:color w:val="000000"/>
                <w:sz w:val="21"/>
                <w:szCs w:val="21"/>
              </w:rPr>
              <w:t>报价</w:t>
            </w:r>
            <w:r>
              <w:rPr>
                <w:rFonts w:hint="eastAsia" w:ascii="宋体" w:hAnsi="宋体" w:eastAsia="宋体" w:cs="宋体"/>
                <w:color w:val="000000"/>
                <w:spacing w:val="-2"/>
                <w:sz w:val="21"/>
                <w:szCs w:val="21"/>
              </w:rPr>
              <w:t>类型</w:t>
            </w:r>
          </w:p>
        </w:tc>
        <w:tc>
          <w:tcPr>
            <w:tcW w:w="6162" w:type="dxa"/>
          </w:tcPr>
          <w:p w14:paraId="24D9B02C">
            <w:pPr>
              <w:spacing w:before="16"/>
              <w:rPr>
                <w:rFonts w:hint="eastAsia" w:ascii="宋体" w:hAnsi="宋体" w:eastAsia="宋体" w:cs="宋体"/>
                <w:color w:val="000000"/>
                <w:spacing w:val="-7"/>
                <w:sz w:val="21"/>
                <w:szCs w:val="21"/>
                <w:lang w:val="en-US" w:eastAsia="zh-CN"/>
              </w:rPr>
            </w:pPr>
            <w:r>
              <w:rPr>
                <w:rFonts w:hint="eastAsia" w:ascii="宋体" w:hAnsi="宋体" w:eastAsia="宋体" w:cs="宋体"/>
                <w:color w:val="000000"/>
                <w:sz w:val="21"/>
                <w:szCs w:val="21"/>
                <w:lang w:val="en-US" w:eastAsia="zh-CN"/>
              </w:rPr>
              <w:t>下拉选择框，包括：</w:t>
            </w:r>
            <w:r>
              <w:rPr>
                <w:rFonts w:hint="eastAsia" w:ascii="宋体" w:hAnsi="宋体" w:eastAsia="宋体" w:cs="宋体"/>
                <w:color w:val="000000"/>
                <w:sz w:val="21"/>
                <w:szCs w:val="21"/>
                <w:lang w:eastAsia="zh-CN"/>
              </w:rPr>
              <w:t>限价</w:t>
            </w:r>
            <w:r>
              <w:rPr>
                <w:rFonts w:hint="eastAsia" w:ascii="宋体" w:hAnsi="宋体" w:eastAsia="宋体" w:cs="宋体"/>
                <w:color w:val="000000"/>
                <w:spacing w:val="-9"/>
                <w:sz w:val="21"/>
                <w:szCs w:val="21"/>
                <w:lang w:eastAsia="zh-CN"/>
              </w:rPr>
              <w:t>，</w:t>
            </w:r>
            <w:r>
              <w:rPr>
                <w:rFonts w:hint="eastAsia" w:ascii="宋体" w:hAnsi="宋体" w:eastAsia="宋体" w:cs="宋体"/>
                <w:color w:val="000000"/>
                <w:sz w:val="21"/>
                <w:szCs w:val="21"/>
                <w:lang w:eastAsia="zh-CN"/>
              </w:rPr>
              <w:t>最</w:t>
            </w:r>
            <w:r>
              <w:rPr>
                <w:rFonts w:hint="eastAsia" w:ascii="宋体" w:hAnsi="宋体" w:eastAsia="宋体" w:cs="宋体"/>
                <w:color w:val="000000"/>
                <w:spacing w:val="-2"/>
                <w:sz w:val="21"/>
                <w:szCs w:val="21"/>
                <w:lang w:eastAsia="zh-CN"/>
              </w:rPr>
              <w:t>新</w:t>
            </w:r>
            <w:r>
              <w:rPr>
                <w:rFonts w:hint="eastAsia" w:ascii="宋体" w:hAnsi="宋体" w:eastAsia="宋体" w:cs="宋体"/>
                <w:color w:val="000000"/>
                <w:sz w:val="21"/>
                <w:szCs w:val="21"/>
                <w:lang w:eastAsia="zh-CN"/>
              </w:rPr>
              <w:t>价</w:t>
            </w:r>
            <w:r>
              <w:rPr>
                <w:rFonts w:hint="eastAsia" w:ascii="宋体" w:hAnsi="宋体" w:eastAsia="宋体" w:cs="宋体"/>
                <w:color w:val="000000"/>
                <w:spacing w:val="-9"/>
                <w:sz w:val="21"/>
                <w:szCs w:val="21"/>
                <w:lang w:eastAsia="zh-CN"/>
              </w:rPr>
              <w:t>，</w:t>
            </w:r>
            <w:r>
              <w:rPr>
                <w:rFonts w:hint="eastAsia" w:ascii="宋体" w:hAnsi="宋体" w:eastAsia="宋体" w:cs="宋体"/>
                <w:color w:val="000000"/>
                <w:sz w:val="21"/>
                <w:szCs w:val="21"/>
                <w:lang w:val="en-US" w:eastAsia="zh-CN"/>
              </w:rPr>
              <w:t>买一价</w:t>
            </w:r>
            <w:r>
              <w:rPr>
                <w:rFonts w:hint="eastAsia" w:ascii="宋体" w:hAnsi="宋体" w:eastAsia="宋体" w:cs="宋体"/>
                <w:color w:val="000000"/>
                <w:spacing w:val="-2"/>
                <w:sz w:val="21"/>
                <w:szCs w:val="21"/>
                <w:lang w:val="en-US" w:eastAsia="zh-CN"/>
              </w:rPr>
              <w:t>，卖一价，五档即成剩撤，五档即成剩转限价，本方最优，对手方最优，</w:t>
            </w:r>
            <w:r>
              <w:rPr>
                <w:rFonts w:hint="eastAsia" w:ascii="宋体" w:hAnsi="宋体" w:eastAsia="宋体" w:cs="宋体"/>
                <w:color w:val="000000"/>
                <w:sz w:val="21"/>
                <w:szCs w:val="21"/>
                <w:lang w:eastAsia="zh-CN"/>
              </w:rPr>
              <w:t>涨</w:t>
            </w:r>
            <w:r>
              <w:rPr>
                <w:rFonts w:hint="eastAsia" w:ascii="宋体" w:hAnsi="宋体" w:eastAsia="宋体" w:cs="宋体"/>
                <w:color w:val="000000"/>
                <w:spacing w:val="-2"/>
                <w:sz w:val="21"/>
                <w:szCs w:val="21"/>
                <w:lang w:eastAsia="zh-CN"/>
              </w:rPr>
              <w:t>停</w:t>
            </w:r>
            <w:r>
              <w:rPr>
                <w:rFonts w:hint="eastAsia" w:ascii="宋体" w:hAnsi="宋体" w:eastAsia="宋体" w:cs="宋体"/>
                <w:color w:val="000000"/>
                <w:sz w:val="21"/>
                <w:szCs w:val="21"/>
                <w:lang w:eastAsia="zh-CN"/>
              </w:rPr>
              <w:t>价</w:t>
            </w:r>
            <w:r>
              <w:rPr>
                <w:rFonts w:hint="eastAsia" w:ascii="宋体" w:hAnsi="宋体" w:eastAsia="宋体" w:cs="宋体"/>
                <w:color w:val="000000"/>
                <w:spacing w:val="-9"/>
                <w:sz w:val="21"/>
                <w:szCs w:val="21"/>
                <w:lang w:eastAsia="zh-CN"/>
              </w:rPr>
              <w:t>，</w:t>
            </w:r>
            <w:r>
              <w:rPr>
                <w:rFonts w:hint="eastAsia" w:ascii="宋体" w:hAnsi="宋体" w:eastAsia="宋体" w:cs="宋体"/>
                <w:color w:val="000000"/>
                <w:sz w:val="21"/>
                <w:szCs w:val="21"/>
                <w:lang w:eastAsia="zh-CN"/>
              </w:rPr>
              <w:t>跌停</w:t>
            </w:r>
            <w:r>
              <w:rPr>
                <w:rFonts w:hint="eastAsia" w:ascii="宋体" w:hAnsi="宋体" w:eastAsia="宋体" w:cs="宋体"/>
                <w:color w:val="000000"/>
                <w:spacing w:val="-2"/>
                <w:sz w:val="21"/>
                <w:szCs w:val="21"/>
                <w:lang w:eastAsia="zh-CN"/>
              </w:rPr>
              <w:t>价</w:t>
            </w:r>
            <w:r>
              <w:rPr>
                <w:rFonts w:hint="eastAsia" w:ascii="宋体" w:hAnsi="宋体" w:eastAsia="宋体" w:cs="宋体"/>
                <w:color w:val="000000"/>
                <w:spacing w:val="-7"/>
                <w:sz w:val="21"/>
                <w:szCs w:val="21"/>
                <w:lang w:eastAsia="zh-CN"/>
              </w:rPr>
              <w:t>，</w:t>
            </w:r>
            <w:r>
              <w:rPr>
                <w:rFonts w:hint="eastAsia" w:ascii="宋体" w:hAnsi="宋体" w:eastAsia="宋体" w:cs="宋体"/>
                <w:color w:val="000000"/>
                <w:spacing w:val="-2"/>
                <w:sz w:val="21"/>
                <w:szCs w:val="21"/>
                <w:lang w:eastAsia="zh-CN"/>
              </w:rPr>
              <w:t>市</w:t>
            </w:r>
            <w:r>
              <w:rPr>
                <w:rFonts w:hint="eastAsia" w:ascii="宋体" w:hAnsi="宋体" w:eastAsia="宋体" w:cs="宋体"/>
                <w:color w:val="000000"/>
                <w:sz w:val="21"/>
                <w:szCs w:val="21"/>
                <w:lang w:eastAsia="zh-CN"/>
              </w:rPr>
              <w:t>价</w:t>
            </w:r>
            <w:r>
              <w:rPr>
                <w:rFonts w:hint="eastAsia" w:ascii="宋体" w:hAnsi="宋体" w:eastAsia="宋体" w:cs="宋体"/>
                <w:color w:val="000000"/>
                <w:spacing w:val="-2"/>
                <w:sz w:val="21"/>
                <w:szCs w:val="21"/>
                <w:lang w:eastAsia="zh-CN"/>
              </w:rPr>
              <w:t>单</w:t>
            </w:r>
            <w:r>
              <w:rPr>
                <w:rFonts w:hint="eastAsia" w:ascii="宋体" w:hAnsi="宋体" w:eastAsia="宋体" w:cs="宋体"/>
                <w:color w:val="000000"/>
                <w:spacing w:val="-7"/>
                <w:sz w:val="21"/>
                <w:szCs w:val="21"/>
                <w:lang w:eastAsia="zh-CN"/>
              </w:rPr>
              <w:t>，</w:t>
            </w:r>
            <w:r>
              <w:rPr>
                <w:rFonts w:hint="eastAsia" w:ascii="宋体" w:hAnsi="宋体" w:eastAsia="宋体" w:cs="宋体"/>
                <w:color w:val="000000"/>
                <w:spacing w:val="-7"/>
                <w:sz w:val="21"/>
                <w:szCs w:val="21"/>
                <w:lang w:val="en-US" w:eastAsia="zh-CN"/>
              </w:rPr>
              <w:t>卖五/卖四/卖三/卖二，买二/买三/买四/买五</w:t>
            </w:r>
          </w:p>
          <w:p w14:paraId="5F55160C">
            <w:pPr>
              <w:spacing w:before="16"/>
              <w:rPr>
                <w:rFonts w:hint="eastAsia" w:ascii="宋体" w:hAnsi="宋体" w:eastAsia="宋体" w:cs="宋体"/>
                <w:color w:val="010302"/>
                <w:lang w:eastAsia="zh-CN"/>
              </w:rPr>
            </w:pPr>
            <w:r>
              <w:rPr>
                <w:rFonts w:hint="eastAsia" w:ascii="宋体" w:hAnsi="宋体" w:eastAsia="宋体" w:cs="宋体"/>
                <w:color w:val="000000"/>
                <w:sz w:val="21"/>
                <w:szCs w:val="21"/>
                <w:lang w:val="en-US" w:eastAsia="zh-CN"/>
              </w:rPr>
              <w:t>其中最新价、买卖五档盘口档位价、</w:t>
            </w:r>
            <w:r>
              <w:rPr>
                <w:rFonts w:hint="eastAsia" w:ascii="宋体" w:hAnsi="宋体" w:eastAsia="宋体" w:cs="宋体"/>
                <w:color w:val="000000"/>
                <w:sz w:val="21"/>
                <w:szCs w:val="21"/>
                <w:lang w:eastAsia="zh-CN"/>
              </w:rPr>
              <w:t>涨</w:t>
            </w:r>
            <w:r>
              <w:rPr>
                <w:rFonts w:hint="eastAsia" w:ascii="宋体" w:hAnsi="宋体" w:eastAsia="宋体" w:cs="宋体"/>
                <w:color w:val="000000"/>
                <w:spacing w:val="-2"/>
                <w:sz w:val="21"/>
                <w:szCs w:val="21"/>
                <w:lang w:eastAsia="zh-CN"/>
              </w:rPr>
              <w:t>跌</w:t>
            </w:r>
            <w:r>
              <w:rPr>
                <w:rFonts w:hint="eastAsia" w:ascii="宋体" w:hAnsi="宋体" w:eastAsia="宋体" w:cs="宋体"/>
                <w:color w:val="000000"/>
                <w:sz w:val="21"/>
                <w:szCs w:val="21"/>
                <w:lang w:eastAsia="zh-CN"/>
              </w:rPr>
              <w:t>停</w:t>
            </w:r>
            <w:r>
              <w:rPr>
                <w:rFonts w:hint="eastAsia" w:ascii="宋体" w:hAnsi="宋体" w:eastAsia="宋体" w:cs="宋体"/>
                <w:color w:val="000000"/>
                <w:spacing w:val="-2"/>
                <w:sz w:val="21"/>
                <w:szCs w:val="21"/>
                <w:lang w:eastAsia="zh-CN"/>
              </w:rPr>
              <w:t>价</w:t>
            </w:r>
            <w:r>
              <w:rPr>
                <w:rFonts w:hint="eastAsia" w:ascii="宋体" w:hAnsi="宋体" w:eastAsia="宋体" w:cs="宋体"/>
                <w:color w:val="000000"/>
                <w:sz w:val="21"/>
                <w:szCs w:val="21"/>
                <w:lang w:eastAsia="zh-CN"/>
              </w:rPr>
              <w:t>委</w:t>
            </w:r>
            <w:r>
              <w:rPr>
                <w:rFonts w:hint="eastAsia" w:ascii="宋体" w:hAnsi="宋体" w:eastAsia="宋体" w:cs="宋体"/>
                <w:color w:val="000000"/>
                <w:spacing w:val="-2"/>
                <w:sz w:val="21"/>
                <w:szCs w:val="21"/>
                <w:lang w:eastAsia="zh-CN"/>
              </w:rPr>
              <w:t>托</w:t>
            </w:r>
            <w:r>
              <w:rPr>
                <w:rFonts w:hint="eastAsia" w:ascii="宋体" w:hAnsi="宋体" w:eastAsia="宋体" w:cs="宋体"/>
                <w:color w:val="000000"/>
                <w:sz w:val="21"/>
                <w:szCs w:val="21"/>
                <w:lang w:eastAsia="zh-CN"/>
              </w:rPr>
              <w:t>时</w:t>
            </w:r>
            <w:r>
              <w:rPr>
                <w:rFonts w:hint="eastAsia" w:ascii="宋体" w:hAnsi="宋体" w:eastAsia="宋体" w:cs="宋体"/>
                <w:color w:val="000000"/>
                <w:spacing w:val="-33"/>
                <w:sz w:val="21"/>
                <w:szCs w:val="21"/>
                <w:lang w:eastAsia="zh-CN"/>
              </w:rPr>
              <w:t>，</w:t>
            </w:r>
            <w:r>
              <w:rPr>
                <w:rFonts w:hint="eastAsia" w:ascii="宋体" w:hAnsi="宋体" w:eastAsia="宋体" w:cs="宋体"/>
                <w:color w:val="000000"/>
                <w:spacing w:val="-2"/>
                <w:sz w:val="21"/>
                <w:szCs w:val="21"/>
                <w:lang w:eastAsia="zh-CN"/>
              </w:rPr>
              <w:t>支</w:t>
            </w:r>
            <w:r>
              <w:rPr>
                <w:rFonts w:hint="eastAsia" w:ascii="宋体" w:hAnsi="宋体" w:eastAsia="宋体" w:cs="宋体"/>
                <w:color w:val="000000"/>
                <w:sz w:val="21"/>
                <w:szCs w:val="21"/>
                <w:lang w:eastAsia="zh-CN"/>
              </w:rPr>
              <w:t>持</w:t>
            </w:r>
            <w:r>
              <w:rPr>
                <w:rFonts w:hint="eastAsia" w:ascii="宋体" w:hAnsi="宋体" w:eastAsia="宋体" w:cs="宋体"/>
                <w:color w:val="000000"/>
                <w:spacing w:val="-2"/>
                <w:sz w:val="21"/>
                <w:szCs w:val="21"/>
                <w:lang w:eastAsia="zh-CN"/>
              </w:rPr>
              <w:t>设</w:t>
            </w:r>
            <w:r>
              <w:rPr>
                <w:rFonts w:hint="eastAsia" w:ascii="宋体" w:hAnsi="宋体" w:eastAsia="宋体" w:cs="宋体"/>
                <w:color w:val="000000"/>
                <w:sz w:val="21"/>
                <w:szCs w:val="21"/>
                <w:lang w:eastAsia="zh-CN"/>
              </w:rPr>
              <w:t>置</w:t>
            </w:r>
            <w:r>
              <w:rPr>
                <w:rFonts w:hint="eastAsia" w:ascii="宋体" w:hAnsi="宋体" w:eastAsia="宋体" w:cs="宋体"/>
                <w:color w:val="000000"/>
                <w:spacing w:val="-2"/>
                <w:sz w:val="21"/>
                <w:szCs w:val="21"/>
                <w:lang w:eastAsia="zh-CN"/>
              </w:rPr>
              <w:t>浮</w:t>
            </w:r>
            <w:r>
              <w:rPr>
                <w:rFonts w:hint="eastAsia" w:ascii="宋体" w:hAnsi="宋体" w:eastAsia="宋体" w:cs="宋体"/>
                <w:color w:val="000000"/>
                <w:sz w:val="21"/>
                <w:szCs w:val="21"/>
                <w:lang w:eastAsia="zh-CN"/>
              </w:rPr>
              <w:t>动</w:t>
            </w:r>
            <w:r>
              <w:rPr>
                <w:rFonts w:hint="eastAsia" w:ascii="宋体" w:hAnsi="宋体" w:eastAsia="宋体" w:cs="宋体"/>
                <w:color w:val="000000"/>
                <w:spacing w:val="-2"/>
                <w:sz w:val="21"/>
                <w:szCs w:val="21"/>
                <w:lang w:eastAsia="zh-CN"/>
              </w:rPr>
              <w:t>比</w:t>
            </w:r>
            <w:r>
              <w:rPr>
                <w:rFonts w:hint="eastAsia" w:ascii="宋体" w:hAnsi="宋体" w:eastAsia="宋体" w:cs="宋体"/>
                <w:color w:val="000000"/>
                <w:sz w:val="21"/>
                <w:szCs w:val="21"/>
                <w:lang w:eastAsia="zh-CN"/>
              </w:rPr>
              <w:t>例</w:t>
            </w:r>
            <w:r>
              <w:rPr>
                <w:rFonts w:hint="eastAsia" w:ascii="宋体" w:hAnsi="宋体" w:eastAsia="宋体" w:cs="宋体"/>
                <w:color w:val="000000"/>
                <w:spacing w:val="-33"/>
                <w:sz w:val="21"/>
                <w:szCs w:val="21"/>
                <w:lang w:eastAsia="zh-CN"/>
              </w:rPr>
              <w:t>，</w:t>
            </w:r>
            <w:r>
              <w:rPr>
                <w:rFonts w:hint="eastAsia" w:ascii="宋体" w:hAnsi="宋体" w:eastAsia="宋体" w:cs="宋体"/>
                <w:color w:val="000000"/>
                <w:spacing w:val="-2"/>
                <w:sz w:val="21"/>
                <w:szCs w:val="21"/>
                <w:lang w:eastAsia="zh-CN"/>
              </w:rPr>
              <w:t>浮</w:t>
            </w:r>
            <w:r>
              <w:rPr>
                <w:rFonts w:hint="eastAsia" w:ascii="宋体" w:hAnsi="宋体" w:eastAsia="宋体" w:cs="宋体"/>
                <w:color w:val="000000"/>
                <w:sz w:val="21"/>
                <w:szCs w:val="21"/>
                <w:lang w:eastAsia="zh-CN"/>
              </w:rPr>
              <w:t>动单</w:t>
            </w:r>
            <w:r>
              <w:rPr>
                <w:rFonts w:hint="eastAsia" w:ascii="宋体" w:hAnsi="宋体" w:eastAsia="宋体" w:cs="宋体"/>
                <w:color w:val="000000"/>
                <w:spacing w:val="-2"/>
                <w:sz w:val="21"/>
                <w:szCs w:val="21"/>
                <w:lang w:eastAsia="zh-CN"/>
              </w:rPr>
              <w:t>位</w:t>
            </w:r>
            <w:r>
              <w:rPr>
                <w:rFonts w:hint="eastAsia" w:ascii="宋体" w:hAnsi="宋体" w:eastAsia="宋体" w:cs="宋体"/>
                <w:color w:val="000000"/>
                <w:sz w:val="21"/>
                <w:szCs w:val="21"/>
                <w:lang w:eastAsia="zh-CN"/>
              </w:rPr>
              <w:t>为标的最</w:t>
            </w:r>
            <w:r>
              <w:rPr>
                <w:rFonts w:hint="eastAsia" w:ascii="宋体" w:hAnsi="宋体" w:eastAsia="宋体" w:cs="宋体"/>
                <w:color w:val="000000"/>
                <w:spacing w:val="-2"/>
                <w:sz w:val="21"/>
                <w:szCs w:val="21"/>
                <w:lang w:eastAsia="zh-CN"/>
              </w:rPr>
              <w:t>小</w:t>
            </w:r>
            <w:r>
              <w:rPr>
                <w:rFonts w:hint="eastAsia" w:ascii="宋体" w:hAnsi="宋体" w:eastAsia="宋体" w:cs="宋体"/>
                <w:color w:val="000000"/>
                <w:sz w:val="21"/>
                <w:szCs w:val="21"/>
                <w:lang w:eastAsia="zh-CN"/>
              </w:rPr>
              <w:t>变</w:t>
            </w:r>
            <w:r>
              <w:rPr>
                <w:rFonts w:hint="eastAsia" w:ascii="宋体" w:hAnsi="宋体" w:eastAsia="宋体" w:cs="宋体"/>
                <w:color w:val="000000"/>
                <w:spacing w:val="-2"/>
                <w:sz w:val="21"/>
                <w:szCs w:val="21"/>
                <w:lang w:eastAsia="zh-CN"/>
              </w:rPr>
              <w:t>动</w:t>
            </w:r>
            <w:r>
              <w:rPr>
                <w:rFonts w:hint="eastAsia" w:ascii="宋体" w:hAnsi="宋体" w:eastAsia="宋体" w:cs="宋体"/>
                <w:color w:val="000000"/>
                <w:sz w:val="21"/>
                <w:szCs w:val="21"/>
                <w:lang w:eastAsia="zh-CN"/>
              </w:rPr>
              <w:t>价</w:t>
            </w:r>
            <w:r>
              <w:rPr>
                <w:rFonts w:hint="eastAsia" w:ascii="宋体" w:hAnsi="宋体" w:eastAsia="宋体" w:cs="宋体"/>
                <w:color w:val="000000"/>
                <w:spacing w:val="-2"/>
                <w:sz w:val="21"/>
                <w:szCs w:val="21"/>
                <w:lang w:eastAsia="zh-CN"/>
              </w:rPr>
              <w:t>差</w:t>
            </w:r>
          </w:p>
        </w:tc>
      </w:tr>
      <w:tr w14:paraId="4D70D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2116" w:type="dxa"/>
            <w:vAlign w:val="center"/>
          </w:tcPr>
          <w:p w14:paraId="452397B9">
            <w:pPr>
              <w:spacing w:before="16"/>
              <w:ind w:firstLine="112"/>
              <w:jc w:val="center"/>
              <w:rPr>
                <w:rFonts w:hint="eastAsia" w:ascii="宋体" w:hAnsi="宋体" w:eastAsia="宋体" w:cs="宋体"/>
                <w:color w:val="010302"/>
              </w:rPr>
            </w:pPr>
            <w:r>
              <w:rPr>
                <w:rFonts w:hint="eastAsia" w:ascii="宋体" w:hAnsi="宋体" w:eastAsia="宋体" w:cs="宋体"/>
                <w:color w:val="000000"/>
                <w:sz w:val="21"/>
                <w:szCs w:val="21"/>
              </w:rPr>
              <w:t>委托</w:t>
            </w:r>
            <w:r>
              <w:rPr>
                <w:rFonts w:hint="eastAsia" w:ascii="宋体" w:hAnsi="宋体" w:eastAsia="宋体" w:cs="宋体"/>
                <w:color w:val="000000"/>
                <w:spacing w:val="-2"/>
                <w:sz w:val="21"/>
                <w:szCs w:val="21"/>
              </w:rPr>
              <w:t>价格</w:t>
            </w:r>
          </w:p>
        </w:tc>
        <w:tc>
          <w:tcPr>
            <w:tcW w:w="6162" w:type="dxa"/>
          </w:tcPr>
          <w:p w14:paraId="7FC5E51A">
            <w:pPr>
              <w:spacing w:before="16"/>
              <w:rPr>
                <w:rFonts w:hint="eastAsia" w:ascii="宋体" w:hAnsi="宋体" w:eastAsia="宋体" w:cs="宋体"/>
                <w:color w:val="010302"/>
                <w:lang w:eastAsia="zh-CN"/>
              </w:rPr>
            </w:pPr>
            <w:r>
              <w:rPr>
                <w:rFonts w:hint="eastAsia" w:ascii="宋体" w:hAnsi="宋体" w:eastAsia="宋体" w:cs="宋体"/>
                <w:color w:val="000000"/>
                <w:sz w:val="21"/>
                <w:szCs w:val="21"/>
                <w:lang w:eastAsia="zh-CN"/>
              </w:rPr>
              <w:t>仅在</w:t>
            </w:r>
            <w:r>
              <w:rPr>
                <w:rFonts w:hint="eastAsia" w:ascii="宋体" w:hAnsi="宋体" w:eastAsia="宋体" w:cs="宋体"/>
                <w:color w:val="000000"/>
                <w:spacing w:val="-2"/>
                <w:sz w:val="21"/>
                <w:szCs w:val="21"/>
                <w:lang w:eastAsia="zh-CN"/>
              </w:rPr>
              <w:t>限</w:t>
            </w:r>
            <w:r>
              <w:rPr>
                <w:rFonts w:hint="eastAsia" w:ascii="宋体" w:hAnsi="宋体" w:eastAsia="宋体" w:cs="宋体"/>
                <w:color w:val="000000"/>
                <w:sz w:val="21"/>
                <w:szCs w:val="21"/>
                <w:lang w:eastAsia="zh-CN"/>
              </w:rPr>
              <w:t>价</w:t>
            </w:r>
            <w:r>
              <w:rPr>
                <w:rFonts w:hint="eastAsia" w:ascii="宋体" w:hAnsi="宋体" w:eastAsia="宋体" w:cs="宋体"/>
                <w:color w:val="000000"/>
                <w:spacing w:val="-2"/>
                <w:sz w:val="21"/>
                <w:szCs w:val="21"/>
                <w:lang w:eastAsia="zh-CN"/>
              </w:rPr>
              <w:t>单</w:t>
            </w:r>
            <w:r>
              <w:rPr>
                <w:rFonts w:hint="eastAsia" w:ascii="宋体" w:hAnsi="宋体" w:eastAsia="宋体" w:cs="宋体"/>
                <w:color w:val="000000"/>
                <w:sz w:val="21"/>
                <w:szCs w:val="21"/>
                <w:lang w:eastAsia="zh-CN"/>
              </w:rPr>
              <w:t>情</w:t>
            </w:r>
            <w:r>
              <w:rPr>
                <w:rFonts w:hint="eastAsia" w:ascii="宋体" w:hAnsi="宋体" w:eastAsia="宋体" w:cs="宋体"/>
                <w:color w:val="000000"/>
                <w:spacing w:val="-2"/>
                <w:sz w:val="21"/>
                <w:szCs w:val="21"/>
                <w:lang w:eastAsia="zh-CN"/>
              </w:rPr>
              <w:t>况</w:t>
            </w:r>
            <w:r>
              <w:rPr>
                <w:rFonts w:hint="eastAsia" w:ascii="宋体" w:hAnsi="宋体" w:eastAsia="宋体" w:cs="宋体"/>
                <w:color w:val="000000"/>
                <w:sz w:val="21"/>
                <w:szCs w:val="21"/>
                <w:lang w:eastAsia="zh-CN"/>
              </w:rPr>
              <w:t>下</w:t>
            </w:r>
            <w:r>
              <w:rPr>
                <w:rFonts w:hint="eastAsia" w:ascii="宋体" w:hAnsi="宋体" w:eastAsia="宋体" w:cs="宋体"/>
                <w:color w:val="000000"/>
                <w:spacing w:val="-2"/>
                <w:sz w:val="21"/>
                <w:szCs w:val="21"/>
                <w:lang w:eastAsia="zh-CN"/>
              </w:rPr>
              <w:t>有效</w:t>
            </w:r>
            <w:r>
              <w:rPr>
                <w:rFonts w:hint="eastAsia" w:ascii="宋体" w:hAnsi="宋体" w:eastAsia="宋体" w:cs="宋体"/>
                <w:color w:val="000000"/>
                <w:sz w:val="21"/>
                <w:szCs w:val="21"/>
                <w:lang w:eastAsia="zh-CN"/>
              </w:rPr>
              <w:t xml:space="preserve">  </w:t>
            </w:r>
          </w:p>
        </w:tc>
      </w:tr>
      <w:tr w14:paraId="6357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4" w:hRule="atLeast"/>
        </w:trPr>
        <w:tc>
          <w:tcPr>
            <w:tcW w:w="2116" w:type="dxa"/>
            <w:vAlign w:val="center"/>
          </w:tcPr>
          <w:p w14:paraId="34A69066">
            <w:pPr>
              <w:spacing w:before="16"/>
              <w:ind w:firstLine="112"/>
              <w:jc w:val="center"/>
              <w:rPr>
                <w:rFonts w:hint="eastAsia" w:ascii="宋体" w:hAnsi="宋体" w:eastAsia="宋体" w:cs="宋体"/>
                <w:color w:val="010302"/>
              </w:rPr>
            </w:pPr>
            <w:r>
              <w:rPr>
                <w:rFonts w:hint="eastAsia" w:ascii="宋体" w:hAnsi="宋体" w:eastAsia="宋体" w:cs="宋体"/>
                <w:color w:val="000000"/>
                <w:sz w:val="21"/>
                <w:szCs w:val="21"/>
              </w:rPr>
              <w:t>委托</w:t>
            </w:r>
            <w:r>
              <w:rPr>
                <w:rFonts w:hint="eastAsia" w:ascii="宋体" w:hAnsi="宋体" w:eastAsia="宋体" w:cs="宋体"/>
                <w:color w:val="000000"/>
                <w:spacing w:val="-2"/>
                <w:sz w:val="21"/>
                <w:szCs w:val="21"/>
              </w:rPr>
              <w:t>数</w:t>
            </w:r>
            <w:r>
              <w:rPr>
                <w:rFonts w:hint="eastAsia" w:ascii="宋体" w:hAnsi="宋体" w:eastAsia="宋体" w:cs="宋体"/>
                <w:color w:val="000000"/>
                <w:sz w:val="21"/>
                <w:szCs w:val="21"/>
              </w:rPr>
              <w:t>量</w:t>
            </w:r>
            <w:r>
              <w:rPr>
                <w:rFonts w:hint="eastAsia" w:ascii="宋体" w:hAnsi="宋体" w:eastAsia="宋体" w:cs="宋体"/>
                <w:color w:val="000000"/>
                <w:spacing w:val="-2"/>
                <w:sz w:val="21"/>
                <w:szCs w:val="21"/>
              </w:rPr>
              <w:t>/</w:t>
            </w:r>
            <w:r>
              <w:rPr>
                <w:rFonts w:hint="eastAsia" w:ascii="宋体" w:hAnsi="宋体" w:eastAsia="宋体" w:cs="宋体"/>
                <w:color w:val="000000"/>
                <w:sz w:val="21"/>
                <w:szCs w:val="21"/>
              </w:rPr>
              <w:t>委</w:t>
            </w:r>
            <w:r>
              <w:rPr>
                <w:rFonts w:hint="eastAsia" w:ascii="宋体" w:hAnsi="宋体" w:eastAsia="宋体" w:cs="宋体"/>
                <w:color w:val="000000"/>
                <w:spacing w:val="-2"/>
                <w:sz w:val="21"/>
                <w:szCs w:val="21"/>
              </w:rPr>
              <w:t>托</w:t>
            </w:r>
            <w:r>
              <w:rPr>
                <w:rFonts w:hint="eastAsia" w:ascii="宋体" w:hAnsi="宋体" w:eastAsia="宋体" w:cs="宋体"/>
                <w:color w:val="000000"/>
                <w:sz w:val="21"/>
                <w:szCs w:val="21"/>
              </w:rPr>
              <w:t>金</w:t>
            </w:r>
            <w:r>
              <w:rPr>
                <w:rFonts w:hint="eastAsia" w:ascii="宋体" w:hAnsi="宋体" w:eastAsia="宋体" w:cs="宋体"/>
                <w:color w:val="000000"/>
                <w:spacing w:val="-2"/>
                <w:sz w:val="21"/>
                <w:szCs w:val="21"/>
              </w:rPr>
              <w:t>额</w:t>
            </w:r>
          </w:p>
        </w:tc>
        <w:tc>
          <w:tcPr>
            <w:tcW w:w="6162" w:type="dxa"/>
          </w:tcPr>
          <w:p w14:paraId="5E961A15">
            <w:pPr>
              <w:spacing w:before="16"/>
              <w:rPr>
                <w:rFonts w:hint="eastAsia" w:ascii="宋体" w:hAnsi="宋体" w:eastAsia="宋体" w:cs="宋体"/>
                <w:color w:val="010302"/>
                <w:lang w:eastAsia="zh-CN"/>
              </w:rPr>
            </w:pPr>
            <w:r>
              <w:rPr>
                <w:rFonts w:hint="eastAsia" w:ascii="宋体" w:hAnsi="宋体" w:eastAsia="宋体" w:cs="宋体"/>
                <w:color w:val="000000"/>
                <w:sz w:val="21"/>
                <w:szCs w:val="21"/>
                <w:lang w:eastAsia="zh-CN"/>
              </w:rPr>
              <w:t>默认</w:t>
            </w:r>
            <w:r>
              <w:rPr>
                <w:rFonts w:hint="eastAsia" w:ascii="宋体" w:hAnsi="宋体" w:eastAsia="宋体" w:cs="宋体"/>
                <w:color w:val="000000"/>
                <w:spacing w:val="-2"/>
                <w:sz w:val="21"/>
                <w:szCs w:val="21"/>
                <w:lang w:eastAsia="zh-CN"/>
              </w:rPr>
              <w:t>展</w:t>
            </w:r>
            <w:r>
              <w:rPr>
                <w:rFonts w:hint="eastAsia" w:ascii="宋体" w:hAnsi="宋体" w:eastAsia="宋体" w:cs="宋体"/>
                <w:color w:val="000000"/>
                <w:sz w:val="21"/>
                <w:szCs w:val="21"/>
                <w:lang w:eastAsia="zh-CN"/>
              </w:rPr>
              <w:t>示</w:t>
            </w:r>
            <w:r>
              <w:rPr>
                <w:rFonts w:hint="eastAsia" w:ascii="宋体" w:hAnsi="宋体" w:eastAsia="宋体" w:cs="宋体"/>
                <w:color w:val="000000"/>
                <w:spacing w:val="-2"/>
                <w:sz w:val="21"/>
                <w:szCs w:val="21"/>
                <w:lang w:eastAsia="zh-CN"/>
              </w:rPr>
              <w:t>的</w:t>
            </w:r>
            <w:r>
              <w:rPr>
                <w:rFonts w:hint="eastAsia" w:ascii="宋体" w:hAnsi="宋体" w:eastAsia="宋体" w:cs="宋体"/>
                <w:color w:val="000000"/>
                <w:sz w:val="21"/>
                <w:szCs w:val="21"/>
                <w:lang w:eastAsia="zh-CN"/>
              </w:rPr>
              <w:t>是</w:t>
            </w:r>
            <w:r>
              <w:rPr>
                <w:rFonts w:hint="eastAsia" w:ascii="宋体" w:hAnsi="宋体" w:eastAsia="宋体" w:cs="宋体"/>
                <w:color w:val="000000"/>
                <w:spacing w:val="-2"/>
                <w:sz w:val="21"/>
                <w:szCs w:val="21"/>
                <w:lang w:eastAsia="zh-CN"/>
              </w:rPr>
              <w:t>按</w:t>
            </w:r>
            <w:r>
              <w:rPr>
                <w:rFonts w:hint="eastAsia" w:ascii="宋体" w:hAnsi="宋体" w:eastAsia="宋体" w:cs="宋体"/>
                <w:color w:val="000000"/>
                <w:sz w:val="21"/>
                <w:szCs w:val="21"/>
                <w:lang w:eastAsia="zh-CN"/>
              </w:rPr>
              <w:t>委</w:t>
            </w:r>
            <w:r>
              <w:rPr>
                <w:rFonts w:hint="eastAsia" w:ascii="宋体" w:hAnsi="宋体" w:eastAsia="宋体" w:cs="宋体"/>
                <w:color w:val="000000"/>
                <w:spacing w:val="-2"/>
                <w:sz w:val="21"/>
                <w:szCs w:val="21"/>
                <w:lang w:eastAsia="zh-CN"/>
              </w:rPr>
              <w:t>托</w:t>
            </w:r>
            <w:r>
              <w:rPr>
                <w:rFonts w:hint="eastAsia" w:ascii="宋体" w:hAnsi="宋体" w:eastAsia="宋体" w:cs="宋体"/>
                <w:color w:val="000000"/>
                <w:sz w:val="21"/>
                <w:szCs w:val="21"/>
                <w:lang w:eastAsia="zh-CN"/>
              </w:rPr>
              <w:t>数</w:t>
            </w:r>
            <w:r>
              <w:rPr>
                <w:rFonts w:hint="eastAsia" w:ascii="宋体" w:hAnsi="宋体" w:eastAsia="宋体" w:cs="宋体"/>
                <w:color w:val="000000"/>
                <w:spacing w:val="-2"/>
                <w:sz w:val="21"/>
                <w:szCs w:val="21"/>
                <w:lang w:eastAsia="zh-CN"/>
              </w:rPr>
              <w:t>量</w:t>
            </w:r>
            <w:r>
              <w:rPr>
                <w:rFonts w:hint="eastAsia" w:ascii="宋体" w:hAnsi="宋体" w:eastAsia="宋体" w:cs="宋体"/>
                <w:color w:val="000000"/>
                <w:sz w:val="21"/>
                <w:szCs w:val="21"/>
                <w:lang w:eastAsia="zh-CN"/>
              </w:rPr>
              <w:t>下单</w:t>
            </w:r>
            <w:r>
              <w:rPr>
                <w:rFonts w:hint="eastAsia" w:ascii="宋体" w:hAnsi="宋体" w:eastAsia="宋体" w:cs="宋体"/>
                <w:color w:val="000000"/>
                <w:spacing w:val="-9"/>
                <w:sz w:val="21"/>
                <w:szCs w:val="21"/>
                <w:lang w:eastAsia="zh-CN"/>
              </w:rPr>
              <w:t>，</w:t>
            </w:r>
            <w:r>
              <w:rPr>
                <w:rFonts w:hint="eastAsia" w:ascii="宋体" w:hAnsi="宋体" w:eastAsia="宋体" w:cs="宋体"/>
                <w:color w:val="000000"/>
                <w:sz w:val="21"/>
                <w:szCs w:val="21"/>
                <w:lang w:eastAsia="zh-CN"/>
              </w:rPr>
              <w:t>基</w:t>
            </w:r>
            <w:r>
              <w:rPr>
                <w:rFonts w:hint="eastAsia" w:ascii="宋体" w:hAnsi="宋体" w:eastAsia="宋体" w:cs="宋体"/>
                <w:color w:val="000000"/>
                <w:spacing w:val="-2"/>
                <w:sz w:val="21"/>
                <w:szCs w:val="21"/>
                <w:lang w:eastAsia="zh-CN"/>
              </w:rPr>
              <w:t>金</w:t>
            </w:r>
            <w:r>
              <w:rPr>
                <w:rFonts w:hint="eastAsia" w:ascii="宋体" w:hAnsi="宋体" w:eastAsia="宋体" w:cs="宋体"/>
                <w:color w:val="000000"/>
                <w:sz w:val="21"/>
                <w:szCs w:val="21"/>
                <w:lang w:eastAsia="zh-CN"/>
              </w:rPr>
              <w:t>的</w:t>
            </w:r>
            <w:r>
              <w:rPr>
                <w:rFonts w:hint="eastAsia" w:ascii="宋体" w:hAnsi="宋体" w:eastAsia="宋体" w:cs="宋体"/>
                <w:color w:val="000000"/>
                <w:spacing w:val="-2"/>
                <w:sz w:val="21"/>
                <w:szCs w:val="21"/>
                <w:lang w:eastAsia="zh-CN"/>
              </w:rPr>
              <w:t>单位</w:t>
            </w:r>
            <w:r>
              <w:rPr>
                <w:rFonts w:hint="eastAsia" w:ascii="宋体" w:hAnsi="宋体" w:eastAsia="宋体" w:cs="宋体"/>
                <w:color w:val="000000"/>
                <w:sz w:val="21"/>
                <w:szCs w:val="21"/>
                <w:lang w:eastAsia="zh-CN"/>
              </w:rPr>
              <w:t>统一</w:t>
            </w:r>
            <w:r>
              <w:rPr>
                <w:rFonts w:hint="eastAsia" w:ascii="宋体" w:hAnsi="宋体" w:eastAsia="宋体" w:cs="宋体"/>
                <w:color w:val="000000"/>
                <w:spacing w:val="-9"/>
                <w:sz w:val="21"/>
                <w:szCs w:val="21"/>
                <w:lang w:eastAsia="zh-CN"/>
              </w:rPr>
              <w:t>是</w:t>
            </w:r>
            <w:r>
              <w:rPr>
                <w:rFonts w:hint="eastAsia" w:ascii="宋体" w:hAnsi="宋体" w:eastAsia="宋体" w:cs="宋体"/>
                <w:color w:val="000000"/>
                <w:sz w:val="21"/>
                <w:szCs w:val="21"/>
                <w:lang w:eastAsia="zh-CN"/>
              </w:rPr>
              <w:t>“股</w:t>
            </w:r>
            <w:r>
              <w:rPr>
                <w:rFonts w:hint="eastAsia" w:ascii="宋体" w:hAnsi="宋体" w:eastAsia="宋体" w:cs="宋体"/>
                <w:color w:val="000000"/>
                <w:spacing w:val="-9"/>
                <w:sz w:val="21"/>
                <w:szCs w:val="21"/>
                <w:lang w:eastAsia="zh-CN"/>
              </w:rPr>
              <w:t>”</w:t>
            </w:r>
            <w:r>
              <w:rPr>
                <w:rFonts w:hint="eastAsia" w:ascii="宋体" w:hAnsi="宋体" w:eastAsia="宋体" w:cs="宋体"/>
                <w:color w:val="000000"/>
                <w:sz w:val="21"/>
                <w:szCs w:val="21"/>
                <w:lang w:eastAsia="zh-CN"/>
              </w:rPr>
              <w:t>，</w:t>
            </w:r>
            <w:r>
              <w:rPr>
                <w:rFonts w:hint="eastAsia" w:ascii="宋体" w:hAnsi="宋体" w:eastAsia="宋体" w:cs="宋体"/>
                <w:sz w:val="21"/>
                <w:szCs w:val="21"/>
                <w:lang w:eastAsia="zh-CN"/>
              </w:rPr>
              <w:t xml:space="preserve"> </w:t>
            </w:r>
          </w:p>
          <w:p w14:paraId="7852BFC8">
            <w:pPr>
              <w:spacing w:before="14" w:line="312" w:lineRule="exact"/>
              <w:ind w:right="20"/>
              <w:rPr>
                <w:rFonts w:hint="eastAsia" w:ascii="宋体" w:hAnsi="宋体" w:eastAsia="宋体" w:cs="宋体"/>
                <w:color w:val="010302"/>
                <w:lang w:eastAsia="zh-CN"/>
              </w:rPr>
            </w:pPr>
            <w:r>
              <w:rPr>
                <w:rFonts w:hint="eastAsia" w:ascii="宋体" w:hAnsi="宋体" w:eastAsia="宋体" w:cs="宋体"/>
                <w:color w:val="000000"/>
                <w:spacing w:val="-2"/>
                <w:sz w:val="21"/>
                <w:szCs w:val="21"/>
                <w:lang w:eastAsia="zh-CN"/>
              </w:rPr>
              <w:t>可</w:t>
            </w:r>
            <w:r>
              <w:rPr>
                <w:rFonts w:hint="eastAsia" w:ascii="宋体" w:hAnsi="宋体" w:eastAsia="宋体" w:cs="宋体"/>
                <w:color w:val="000000"/>
                <w:sz w:val="21"/>
                <w:szCs w:val="21"/>
                <w:lang w:eastAsia="zh-CN"/>
              </w:rPr>
              <w:t>点</w:t>
            </w:r>
            <w:r>
              <w:rPr>
                <w:rFonts w:hint="eastAsia" w:ascii="宋体" w:hAnsi="宋体" w:eastAsia="宋体" w:cs="宋体"/>
                <w:color w:val="000000"/>
                <w:spacing w:val="-2"/>
                <w:sz w:val="21"/>
                <w:szCs w:val="21"/>
                <w:lang w:eastAsia="zh-CN"/>
              </w:rPr>
              <w:t>击</w:t>
            </w:r>
            <w:r>
              <w:rPr>
                <w:rFonts w:hint="eastAsia" w:ascii="宋体" w:hAnsi="宋体" w:eastAsia="宋体" w:cs="宋体"/>
                <w:color w:val="000000"/>
                <w:sz w:val="21"/>
                <w:szCs w:val="21"/>
                <w:lang w:eastAsia="zh-CN"/>
              </w:rPr>
              <w:t>“股</w:t>
            </w:r>
            <w:r>
              <w:rPr>
                <w:rFonts w:hint="eastAsia" w:ascii="宋体" w:hAnsi="宋体" w:eastAsia="宋体" w:cs="宋体"/>
                <w:color w:val="000000"/>
                <w:spacing w:val="-2"/>
                <w:sz w:val="21"/>
                <w:szCs w:val="21"/>
                <w:lang w:eastAsia="zh-CN"/>
              </w:rPr>
              <w:t>/</w:t>
            </w:r>
            <w:r>
              <w:rPr>
                <w:rFonts w:hint="eastAsia" w:ascii="宋体" w:hAnsi="宋体" w:eastAsia="宋体" w:cs="宋体"/>
                <w:color w:val="000000"/>
                <w:sz w:val="21"/>
                <w:szCs w:val="21"/>
                <w:lang w:eastAsia="zh-CN"/>
              </w:rPr>
              <w:t>张</w:t>
            </w:r>
            <w:r>
              <w:rPr>
                <w:rFonts w:hint="eastAsia" w:ascii="宋体" w:hAnsi="宋体" w:eastAsia="宋体" w:cs="宋体"/>
                <w:color w:val="000000"/>
                <w:spacing w:val="-2"/>
                <w:sz w:val="21"/>
                <w:szCs w:val="21"/>
                <w:lang w:eastAsia="zh-CN"/>
              </w:rPr>
              <w:t>”</w:t>
            </w:r>
            <w:r>
              <w:rPr>
                <w:rFonts w:hint="eastAsia" w:ascii="宋体" w:hAnsi="宋体" w:eastAsia="宋体" w:cs="宋体"/>
                <w:color w:val="000000"/>
                <w:sz w:val="21"/>
                <w:szCs w:val="21"/>
                <w:lang w:eastAsia="zh-CN"/>
              </w:rPr>
              <w:t>切</w:t>
            </w:r>
            <w:r>
              <w:rPr>
                <w:rFonts w:hint="eastAsia" w:ascii="宋体" w:hAnsi="宋体" w:eastAsia="宋体" w:cs="宋体"/>
                <w:color w:val="000000"/>
                <w:spacing w:val="-2"/>
                <w:sz w:val="21"/>
                <w:szCs w:val="21"/>
                <w:lang w:eastAsia="zh-CN"/>
              </w:rPr>
              <w:t>换成</w:t>
            </w:r>
            <w:r>
              <w:rPr>
                <w:rFonts w:hint="eastAsia" w:ascii="宋体" w:hAnsi="宋体" w:eastAsia="宋体" w:cs="宋体"/>
                <w:color w:val="000000"/>
                <w:sz w:val="21"/>
                <w:szCs w:val="21"/>
                <w:lang w:eastAsia="zh-CN"/>
              </w:rPr>
              <w:t>“</w:t>
            </w:r>
            <w:r>
              <w:rPr>
                <w:rFonts w:hint="eastAsia" w:ascii="宋体" w:hAnsi="宋体" w:eastAsia="宋体" w:cs="宋体"/>
                <w:color w:val="000000"/>
                <w:spacing w:val="-2"/>
                <w:sz w:val="21"/>
                <w:szCs w:val="21"/>
                <w:lang w:eastAsia="zh-CN"/>
              </w:rPr>
              <w:t>元</w:t>
            </w:r>
            <w:r>
              <w:rPr>
                <w:rFonts w:hint="eastAsia" w:ascii="宋体" w:hAnsi="宋体" w:eastAsia="宋体" w:cs="宋体"/>
                <w:color w:val="000000"/>
                <w:sz w:val="21"/>
                <w:szCs w:val="21"/>
                <w:lang w:eastAsia="zh-CN"/>
              </w:rPr>
              <w:t>”</w:t>
            </w:r>
            <w:r>
              <w:rPr>
                <w:rFonts w:hint="eastAsia" w:ascii="宋体" w:hAnsi="宋体" w:eastAsia="宋体" w:cs="宋体"/>
                <w:color w:val="000000"/>
                <w:spacing w:val="-2"/>
                <w:sz w:val="21"/>
                <w:szCs w:val="21"/>
                <w:lang w:eastAsia="zh-CN"/>
              </w:rPr>
              <w:t>，</w:t>
            </w:r>
            <w:r>
              <w:rPr>
                <w:rFonts w:hint="eastAsia" w:ascii="宋体" w:hAnsi="宋体" w:eastAsia="宋体" w:cs="宋体"/>
                <w:color w:val="000000"/>
                <w:sz w:val="21"/>
                <w:szCs w:val="21"/>
                <w:lang w:eastAsia="zh-CN"/>
              </w:rPr>
              <w:t>同时变更</w:t>
            </w:r>
            <w:r>
              <w:rPr>
                <w:rFonts w:hint="eastAsia" w:ascii="宋体" w:hAnsi="宋体" w:eastAsia="宋体" w:cs="宋体"/>
                <w:color w:val="000000"/>
                <w:spacing w:val="-2"/>
                <w:sz w:val="21"/>
                <w:szCs w:val="21"/>
                <w:lang w:eastAsia="zh-CN"/>
              </w:rPr>
              <w:t>为</w:t>
            </w:r>
            <w:r>
              <w:rPr>
                <w:rFonts w:hint="eastAsia" w:ascii="宋体" w:hAnsi="宋体" w:eastAsia="宋体" w:cs="宋体"/>
                <w:color w:val="000000"/>
                <w:sz w:val="21"/>
                <w:szCs w:val="21"/>
                <w:lang w:eastAsia="zh-CN"/>
              </w:rPr>
              <w:t>按</w:t>
            </w:r>
            <w:r>
              <w:rPr>
                <w:rFonts w:hint="eastAsia" w:ascii="宋体" w:hAnsi="宋体" w:eastAsia="宋体" w:cs="宋体"/>
                <w:color w:val="000000"/>
                <w:spacing w:val="-2"/>
                <w:sz w:val="21"/>
                <w:szCs w:val="21"/>
                <w:lang w:eastAsia="zh-CN"/>
              </w:rPr>
              <w:t>委</w:t>
            </w:r>
            <w:r>
              <w:rPr>
                <w:rFonts w:hint="eastAsia" w:ascii="宋体" w:hAnsi="宋体" w:eastAsia="宋体" w:cs="宋体"/>
                <w:color w:val="000000"/>
                <w:sz w:val="21"/>
                <w:szCs w:val="21"/>
                <w:lang w:eastAsia="zh-CN"/>
              </w:rPr>
              <w:t>托</w:t>
            </w:r>
            <w:r>
              <w:rPr>
                <w:rFonts w:hint="eastAsia" w:ascii="宋体" w:hAnsi="宋体" w:eastAsia="宋体" w:cs="宋体"/>
                <w:color w:val="000000"/>
                <w:spacing w:val="-2"/>
                <w:sz w:val="21"/>
                <w:szCs w:val="21"/>
                <w:lang w:eastAsia="zh-CN"/>
              </w:rPr>
              <w:t>金</w:t>
            </w:r>
            <w:r>
              <w:rPr>
                <w:rFonts w:hint="eastAsia" w:ascii="宋体" w:hAnsi="宋体" w:eastAsia="宋体" w:cs="宋体"/>
                <w:color w:val="000000"/>
                <w:sz w:val="21"/>
                <w:szCs w:val="21"/>
                <w:lang w:eastAsia="zh-CN"/>
              </w:rPr>
              <w:t>额</w:t>
            </w:r>
            <w:r>
              <w:rPr>
                <w:rFonts w:hint="eastAsia" w:ascii="宋体" w:hAnsi="宋体" w:eastAsia="宋体" w:cs="宋体"/>
                <w:color w:val="000000"/>
                <w:spacing w:val="-2"/>
                <w:sz w:val="21"/>
                <w:szCs w:val="21"/>
                <w:lang w:eastAsia="zh-CN"/>
              </w:rPr>
              <w:t>下单</w:t>
            </w:r>
            <w:r>
              <w:rPr>
                <w:rFonts w:hint="eastAsia" w:ascii="宋体" w:hAnsi="宋体" w:eastAsia="宋体" w:cs="宋体"/>
                <w:color w:val="000000"/>
                <w:sz w:val="21"/>
                <w:szCs w:val="21"/>
                <w:lang w:eastAsia="zh-CN"/>
              </w:rPr>
              <w:t xml:space="preserve">  </w:t>
            </w:r>
          </w:p>
        </w:tc>
      </w:tr>
      <w:tr w14:paraId="71358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2116" w:type="dxa"/>
            <w:vAlign w:val="center"/>
          </w:tcPr>
          <w:p w14:paraId="5797C586">
            <w:pPr>
              <w:ind w:firstLine="112"/>
              <w:jc w:val="center"/>
              <w:rPr>
                <w:rFonts w:hint="eastAsia" w:ascii="宋体" w:hAnsi="宋体" w:eastAsia="宋体" w:cs="宋体"/>
                <w:color w:val="010302"/>
              </w:rPr>
            </w:pPr>
            <w:r>
              <w:rPr>
                <w:rFonts w:hint="eastAsia" w:ascii="宋体" w:hAnsi="宋体" w:eastAsia="宋体" w:cs="宋体"/>
                <w:color w:val="000000"/>
                <w:sz w:val="21"/>
                <w:szCs w:val="21"/>
              </w:rPr>
              <w:t>可买</w:t>
            </w:r>
            <w:r>
              <w:rPr>
                <w:rFonts w:hint="eastAsia" w:ascii="宋体" w:hAnsi="宋体" w:eastAsia="宋体" w:cs="宋体"/>
                <w:color w:val="000000"/>
                <w:spacing w:val="-2"/>
                <w:sz w:val="21"/>
                <w:szCs w:val="21"/>
              </w:rPr>
              <w:t>/</w:t>
            </w:r>
            <w:r>
              <w:rPr>
                <w:rFonts w:hint="eastAsia" w:ascii="宋体" w:hAnsi="宋体" w:eastAsia="宋体" w:cs="宋体"/>
                <w:color w:val="000000"/>
                <w:sz w:val="21"/>
                <w:szCs w:val="21"/>
              </w:rPr>
              <w:t>可</w:t>
            </w:r>
            <w:r>
              <w:rPr>
                <w:rFonts w:hint="eastAsia" w:ascii="宋体" w:hAnsi="宋体" w:eastAsia="宋体" w:cs="宋体"/>
                <w:color w:val="000000"/>
                <w:spacing w:val="-2"/>
                <w:sz w:val="21"/>
                <w:szCs w:val="21"/>
              </w:rPr>
              <w:t>卖</w:t>
            </w:r>
            <w:r>
              <w:rPr>
                <w:rFonts w:hint="eastAsia" w:ascii="宋体" w:hAnsi="宋体" w:eastAsia="宋体" w:cs="宋体"/>
                <w:color w:val="000000"/>
                <w:sz w:val="21"/>
                <w:szCs w:val="21"/>
              </w:rPr>
              <w:t>数</w:t>
            </w:r>
            <w:r>
              <w:rPr>
                <w:rFonts w:hint="eastAsia" w:ascii="宋体" w:hAnsi="宋体" w:eastAsia="宋体" w:cs="宋体"/>
                <w:color w:val="000000"/>
                <w:spacing w:val="-2"/>
                <w:sz w:val="21"/>
                <w:szCs w:val="21"/>
              </w:rPr>
              <w:t>量</w:t>
            </w:r>
            <w:r>
              <w:rPr>
                <w:rFonts w:hint="eastAsia" w:ascii="宋体" w:hAnsi="宋体" w:eastAsia="宋体" w:cs="宋体"/>
                <w:color w:val="000000"/>
                <w:sz w:val="21"/>
                <w:szCs w:val="21"/>
              </w:rPr>
              <w:t>比</w:t>
            </w:r>
            <w:r>
              <w:rPr>
                <w:rFonts w:hint="eastAsia" w:ascii="宋体" w:hAnsi="宋体" w:eastAsia="宋体" w:cs="宋体"/>
                <w:color w:val="000000"/>
                <w:spacing w:val="-2"/>
                <w:sz w:val="21"/>
                <w:szCs w:val="21"/>
              </w:rPr>
              <w:t>例</w:t>
            </w:r>
          </w:p>
        </w:tc>
        <w:tc>
          <w:tcPr>
            <w:tcW w:w="6162" w:type="dxa"/>
          </w:tcPr>
          <w:p w14:paraId="657B2CCE">
            <w:pPr>
              <w:rPr>
                <w:rFonts w:hint="eastAsia" w:ascii="宋体" w:hAnsi="宋体" w:eastAsia="宋体" w:cs="宋体"/>
                <w:color w:val="010302"/>
              </w:rPr>
            </w:pPr>
            <w:r>
              <w:rPr>
                <w:rFonts w:hint="eastAsia" w:ascii="宋体" w:hAnsi="宋体" w:eastAsia="宋体" w:cs="宋体"/>
                <w:color w:val="000000"/>
                <w:sz w:val="21"/>
                <w:szCs w:val="21"/>
              </w:rPr>
              <w:t>委托</w:t>
            </w:r>
            <w:r>
              <w:rPr>
                <w:rFonts w:hint="eastAsia" w:ascii="宋体" w:hAnsi="宋体" w:eastAsia="宋体" w:cs="宋体"/>
                <w:color w:val="000000"/>
                <w:spacing w:val="-2"/>
                <w:sz w:val="21"/>
                <w:szCs w:val="21"/>
              </w:rPr>
              <w:t>数</w:t>
            </w:r>
            <w:r>
              <w:rPr>
                <w:rFonts w:hint="eastAsia" w:ascii="宋体" w:hAnsi="宋体" w:eastAsia="宋体" w:cs="宋体"/>
                <w:color w:val="000000"/>
                <w:sz w:val="21"/>
                <w:szCs w:val="21"/>
              </w:rPr>
              <w:t>量</w:t>
            </w:r>
            <w:r>
              <w:rPr>
                <w:rFonts w:hint="eastAsia" w:ascii="宋体" w:hAnsi="宋体" w:eastAsia="宋体" w:cs="宋体"/>
                <w:color w:val="000000"/>
                <w:spacing w:val="-2"/>
                <w:sz w:val="21"/>
                <w:szCs w:val="21"/>
              </w:rPr>
              <w:t>的</w:t>
            </w:r>
            <w:r>
              <w:rPr>
                <w:rFonts w:hint="eastAsia" w:ascii="宋体" w:hAnsi="宋体" w:eastAsia="宋体" w:cs="宋体"/>
                <w:color w:val="000000"/>
                <w:sz w:val="21"/>
                <w:szCs w:val="21"/>
              </w:rPr>
              <w:t>快</w:t>
            </w:r>
            <w:r>
              <w:rPr>
                <w:rFonts w:hint="eastAsia" w:ascii="宋体" w:hAnsi="宋体" w:eastAsia="宋体" w:cs="宋体"/>
                <w:color w:val="000000"/>
                <w:spacing w:val="-2"/>
                <w:sz w:val="21"/>
                <w:szCs w:val="21"/>
              </w:rPr>
              <w:t>捷键</w:t>
            </w:r>
            <w:r>
              <w:rPr>
                <w:rFonts w:hint="eastAsia" w:ascii="宋体" w:hAnsi="宋体" w:eastAsia="宋体" w:cs="宋体"/>
                <w:color w:val="000000"/>
                <w:sz w:val="21"/>
                <w:szCs w:val="21"/>
              </w:rPr>
              <w:t xml:space="preserve">  </w:t>
            </w:r>
          </w:p>
        </w:tc>
      </w:tr>
      <w:tr w14:paraId="24438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2116" w:type="dxa"/>
            <w:vAlign w:val="center"/>
          </w:tcPr>
          <w:p w14:paraId="214758B2">
            <w:pPr>
              <w:ind w:firstLine="112"/>
              <w:jc w:val="center"/>
              <w:rPr>
                <w:rFonts w:hint="eastAsia" w:ascii="宋体" w:hAnsi="宋体" w:eastAsia="宋体" w:cs="宋体"/>
                <w:color w:val="010302"/>
              </w:rPr>
            </w:pPr>
            <w:r>
              <w:rPr>
                <w:rFonts w:hint="eastAsia" w:ascii="宋体" w:hAnsi="宋体" w:eastAsia="宋体" w:cs="宋体"/>
                <w:color w:val="000000"/>
                <w:sz w:val="21"/>
                <w:szCs w:val="21"/>
              </w:rPr>
              <w:t>最大</w:t>
            </w:r>
            <w:r>
              <w:rPr>
                <w:rFonts w:hint="eastAsia" w:ascii="宋体" w:hAnsi="宋体" w:eastAsia="宋体" w:cs="宋体"/>
                <w:color w:val="000000"/>
                <w:spacing w:val="-2"/>
                <w:sz w:val="21"/>
                <w:szCs w:val="21"/>
              </w:rPr>
              <w:t>可</w:t>
            </w:r>
            <w:r>
              <w:rPr>
                <w:rFonts w:hint="eastAsia" w:ascii="宋体" w:hAnsi="宋体" w:eastAsia="宋体" w:cs="宋体"/>
                <w:color w:val="000000"/>
                <w:sz w:val="21"/>
                <w:szCs w:val="21"/>
              </w:rPr>
              <w:t>买</w:t>
            </w:r>
            <w:r>
              <w:rPr>
                <w:rFonts w:hint="eastAsia" w:ascii="宋体" w:hAnsi="宋体" w:eastAsia="宋体" w:cs="宋体"/>
                <w:color w:val="000000"/>
                <w:spacing w:val="-2"/>
                <w:sz w:val="21"/>
                <w:szCs w:val="21"/>
              </w:rPr>
              <w:t>/</w:t>
            </w:r>
            <w:r>
              <w:rPr>
                <w:rFonts w:hint="eastAsia" w:ascii="宋体" w:hAnsi="宋体" w:eastAsia="宋体" w:cs="宋体"/>
                <w:color w:val="000000"/>
                <w:sz w:val="21"/>
                <w:szCs w:val="21"/>
              </w:rPr>
              <w:t>可</w:t>
            </w:r>
            <w:r>
              <w:rPr>
                <w:rFonts w:hint="eastAsia" w:ascii="宋体" w:hAnsi="宋体" w:eastAsia="宋体" w:cs="宋体"/>
                <w:color w:val="000000"/>
                <w:spacing w:val="-2"/>
                <w:sz w:val="21"/>
                <w:szCs w:val="21"/>
              </w:rPr>
              <w:t>卖</w:t>
            </w:r>
          </w:p>
        </w:tc>
        <w:tc>
          <w:tcPr>
            <w:tcW w:w="6162" w:type="dxa"/>
          </w:tcPr>
          <w:p w14:paraId="4D758DC9">
            <w:pPr>
              <w:rPr>
                <w:rFonts w:hint="eastAsia" w:ascii="宋体" w:hAnsi="宋体" w:eastAsia="宋体" w:cs="宋体"/>
                <w:color w:val="010302"/>
                <w:lang w:eastAsia="zh-CN"/>
              </w:rPr>
            </w:pPr>
            <w:r>
              <w:rPr>
                <w:rFonts w:hint="eastAsia" w:ascii="宋体" w:hAnsi="宋体" w:eastAsia="宋体" w:cs="宋体"/>
                <w:color w:val="000000"/>
                <w:sz w:val="21"/>
                <w:szCs w:val="21"/>
                <w:lang w:eastAsia="zh-CN"/>
              </w:rPr>
              <w:t>系统</w:t>
            </w:r>
            <w:r>
              <w:rPr>
                <w:rFonts w:hint="eastAsia" w:ascii="宋体" w:hAnsi="宋体" w:eastAsia="宋体" w:cs="宋体"/>
                <w:color w:val="000000"/>
                <w:spacing w:val="-2"/>
                <w:sz w:val="21"/>
                <w:szCs w:val="21"/>
                <w:lang w:eastAsia="zh-CN"/>
              </w:rPr>
              <w:t>预</w:t>
            </w:r>
            <w:r>
              <w:rPr>
                <w:rFonts w:hint="eastAsia" w:ascii="宋体" w:hAnsi="宋体" w:eastAsia="宋体" w:cs="宋体"/>
                <w:color w:val="000000"/>
                <w:sz w:val="21"/>
                <w:szCs w:val="21"/>
                <w:lang w:eastAsia="zh-CN"/>
              </w:rPr>
              <w:t>估</w:t>
            </w:r>
            <w:r>
              <w:rPr>
                <w:rFonts w:hint="eastAsia" w:ascii="宋体" w:hAnsi="宋体" w:eastAsia="宋体" w:cs="宋体"/>
                <w:color w:val="000000"/>
                <w:spacing w:val="-2"/>
                <w:sz w:val="21"/>
                <w:szCs w:val="21"/>
                <w:lang w:eastAsia="zh-CN"/>
              </w:rPr>
              <w:t>的</w:t>
            </w:r>
            <w:r>
              <w:rPr>
                <w:rFonts w:hint="eastAsia" w:ascii="宋体" w:hAnsi="宋体" w:eastAsia="宋体" w:cs="宋体"/>
                <w:color w:val="000000"/>
                <w:sz w:val="21"/>
                <w:szCs w:val="21"/>
                <w:lang w:eastAsia="zh-CN"/>
              </w:rPr>
              <w:t>当</w:t>
            </w:r>
            <w:r>
              <w:rPr>
                <w:rFonts w:hint="eastAsia" w:ascii="宋体" w:hAnsi="宋体" w:eastAsia="宋体" w:cs="宋体"/>
                <w:color w:val="000000"/>
                <w:spacing w:val="-2"/>
                <w:sz w:val="21"/>
                <w:szCs w:val="21"/>
                <w:lang w:eastAsia="zh-CN"/>
              </w:rPr>
              <w:t>前</w:t>
            </w:r>
            <w:r>
              <w:rPr>
                <w:rFonts w:hint="eastAsia" w:ascii="宋体" w:hAnsi="宋体" w:eastAsia="宋体" w:cs="宋体"/>
                <w:color w:val="000000"/>
                <w:sz w:val="21"/>
                <w:szCs w:val="21"/>
                <w:lang w:eastAsia="zh-CN"/>
              </w:rPr>
              <w:t>最</w:t>
            </w:r>
            <w:r>
              <w:rPr>
                <w:rFonts w:hint="eastAsia" w:ascii="宋体" w:hAnsi="宋体" w:eastAsia="宋体" w:cs="宋体"/>
                <w:color w:val="000000"/>
                <w:spacing w:val="-2"/>
                <w:sz w:val="21"/>
                <w:szCs w:val="21"/>
                <w:lang w:eastAsia="zh-CN"/>
              </w:rPr>
              <w:t>大</w:t>
            </w:r>
            <w:r>
              <w:rPr>
                <w:rFonts w:hint="eastAsia" w:ascii="宋体" w:hAnsi="宋体" w:eastAsia="宋体" w:cs="宋体"/>
                <w:color w:val="000000"/>
                <w:sz w:val="21"/>
                <w:szCs w:val="21"/>
                <w:lang w:eastAsia="zh-CN"/>
              </w:rPr>
              <w:t>的</w:t>
            </w:r>
            <w:r>
              <w:rPr>
                <w:rFonts w:hint="eastAsia" w:ascii="宋体" w:hAnsi="宋体" w:eastAsia="宋体" w:cs="宋体"/>
                <w:color w:val="000000"/>
                <w:spacing w:val="-2"/>
                <w:sz w:val="21"/>
                <w:szCs w:val="21"/>
                <w:lang w:eastAsia="zh-CN"/>
              </w:rPr>
              <w:t>可</w:t>
            </w:r>
            <w:r>
              <w:rPr>
                <w:rFonts w:hint="eastAsia" w:ascii="宋体" w:hAnsi="宋体" w:eastAsia="宋体" w:cs="宋体"/>
                <w:color w:val="000000"/>
                <w:sz w:val="21"/>
                <w:szCs w:val="21"/>
                <w:lang w:eastAsia="zh-CN"/>
              </w:rPr>
              <w:t>买或</w:t>
            </w:r>
            <w:r>
              <w:rPr>
                <w:rFonts w:hint="eastAsia" w:ascii="宋体" w:hAnsi="宋体" w:eastAsia="宋体" w:cs="宋体"/>
                <w:color w:val="000000"/>
                <w:spacing w:val="-2"/>
                <w:sz w:val="21"/>
                <w:szCs w:val="21"/>
                <w:lang w:eastAsia="zh-CN"/>
              </w:rPr>
              <w:t>可</w:t>
            </w:r>
            <w:r>
              <w:rPr>
                <w:rFonts w:hint="eastAsia" w:ascii="宋体" w:hAnsi="宋体" w:eastAsia="宋体" w:cs="宋体"/>
                <w:color w:val="000000"/>
                <w:sz w:val="21"/>
                <w:szCs w:val="21"/>
                <w:lang w:eastAsia="zh-CN"/>
              </w:rPr>
              <w:t>卖</w:t>
            </w:r>
            <w:r>
              <w:rPr>
                <w:rFonts w:hint="eastAsia" w:ascii="宋体" w:hAnsi="宋体" w:eastAsia="宋体" w:cs="宋体"/>
                <w:color w:val="000000"/>
                <w:spacing w:val="-2"/>
                <w:sz w:val="21"/>
                <w:szCs w:val="21"/>
                <w:lang w:eastAsia="zh-CN"/>
              </w:rPr>
              <w:t>数量</w:t>
            </w:r>
            <w:r>
              <w:rPr>
                <w:rFonts w:hint="eastAsia" w:ascii="宋体" w:hAnsi="宋体" w:eastAsia="宋体" w:cs="宋体"/>
                <w:color w:val="000000"/>
                <w:sz w:val="21"/>
                <w:szCs w:val="21"/>
                <w:lang w:eastAsia="zh-CN"/>
              </w:rPr>
              <w:t xml:space="preserve">  </w:t>
            </w:r>
          </w:p>
        </w:tc>
      </w:tr>
      <w:tr w14:paraId="6D8A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2116" w:type="dxa"/>
            <w:vAlign w:val="center"/>
          </w:tcPr>
          <w:p w14:paraId="30D847B1">
            <w:pPr>
              <w:ind w:firstLine="112"/>
              <w:jc w:val="center"/>
              <w:rPr>
                <w:rFonts w:hint="eastAsia" w:ascii="宋体" w:hAnsi="宋体" w:eastAsia="宋体" w:cs="宋体"/>
                <w:color w:val="010302"/>
              </w:rPr>
            </w:pPr>
            <w:r>
              <w:rPr>
                <w:rFonts w:hint="eastAsia" w:ascii="宋体" w:hAnsi="宋体" w:eastAsia="宋体" w:cs="宋体"/>
                <w:color w:val="000000"/>
                <w:sz w:val="21"/>
                <w:szCs w:val="21"/>
              </w:rPr>
              <w:t>交易</w:t>
            </w:r>
            <w:r>
              <w:rPr>
                <w:rFonts w:hint="eastAsia" w:ascii="宋体" w:hAnsi="宋体" w:eastAsia="宋体" w:cs="宋体"/>
                <w:color w:val="000000"/>
                <w:spacing w:val="-2"/>
                <w:sz w:val="21"/>
                <w:szCs w:val="21"/>
              </w:rPr>
              <w:t>金额</w:t>
            </w:r>
          </w:p>
        </w:tc>
        <w:tc>
          <w:tcPr>
            <w:tcW w:w="6162" w:type="dxa"/>
          </w:tcPr>
          <w:p w14:paraId="2A76AFE6">
            <w:pPr>
              <w:rPr>
                <w:rFonts w:hint="eastAsia" w:ascii="宋体" w:hAnsi="宋体" w:eastAsia="宋体" w:cs="宋体"/>
                <w:color w:val="010302"/>
              </w:rPr>
            </w:pPr>
            <w:r>
              <w:rPr>
                <w:rFonts w:hint="eastAsia" w:ascii="宋体" w:hAnsi="宋体" w:eastAsia="宋体" w:cs="宋体"/>
                <w:color w:val="000000"/>
                <w:sz w:val="21"/>
                <w:szCs w:val="21"/>
              </w:rPr>
              <w:t>当前</w:t>
            </w:r>
            <w:r>
              <w:rPr>
                <w:rFonts w:hint="eastAsia" w:ascii="宋体" w:hAnsi="宋体" w:eastAsia="宋体" w:cs="宋体"/>
                <w:color w:val="000000"/>
                <w:spacing w:val="-2"/>
                <w:sz w:val="21"/>
                <w:szCs w:val="21"/>
              </w:rPr>
              <w:t>委</w:t>
            </w:r>
            <w:r>
              <w:rPr>
                <w:rFonts w:hint="eastAsia" w:ascii="宋体" w:hAnsi="宋体" w:eastAsia="宋体" w:cs="宋体"/>
                <w:color w:val="000000"/>
                <w:sz w:val="21"/>
                <w:szCs w:val="21"/>
              </w:rPr>
              <w:t>托</w:t>
            </w:r>
            <w:r>
              <w:rPr>
                <w:rFonts w:hint="eastAsia" w:ascii="宋体" w:hAnsi="宋体" w:eastAsia="宋体" w:cs="宋体"/>
                <w:color w:val="000000"/>
                <w:spacing w:val="-2"/>
                <w:sz w:val="21"/>
                <w:szCs w:val="21"/>
              </w:rPr>
              <w:t>的</w:t>
            </w:r>
            <w:r>
              <w:rPr>
                <w:rFonts w:hint="eastAsia" w:ascii="宋体" w:hAnsi="宋体" w:eastAsia="宋体" w:cs="宋体"/>
                <w:color w:val="000000"/>
                <w:sz w:val="21"/>
                <w:szCs w:val="21"/>
              </w:rPr>
              <w:t>涉</w:t>
            </w:r>
            <w:r>
              <w:rPr>
                <w:rFonts w:hint="eastAsia" w:ascii="宋体" w:hAnsi="宋体" w:eastAsia="宋体" w:cs="宋体"/>
                <w:color w:val="000000"/>
                <w:spacing w:val="-2"/>
                <w:sz w:val="21"/>
                <w:szCs w:val="21"/>
              </w:rPr>
              <w:t>及</w:t>
            </w:r>
            <w:r>
              <w:rPr>
                <w:rFonts w:hint="eastAsia" w:ascii="宋体" w:hAnsi="宋体" w:eastAsia="宋体" w:cs="宋体"/>
                <w:color w:val="000000"/>
                <w:sz w:val="21"/>
                <w:szCs w:val="21"/>
              </w:rPr>
              <w:t>金</w:t>
            </w:r>
            <w:r>
              <w:rPr>
                <w:rFonts w:hint="eastAsia" w:ascii="宋体" w:hAnsi="宋体" w:eastAsia="宋体" w:cs="宋体"/>
                <w:color w:val="000000"/>
                <w:spacing w:val="-2"/>
                <w:sz w:val="21"/>
                <w:szCs w:val="21"/>
              </w:rPr>
              <w:t>额</w:t>
            </w:r>
          </w:p>
        </w:tc>
      </w:tr>
    </w:tbl>
    <w:p w14:paraId="50E436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填写完下单面板各项信息后，点击“普通买入/卖出”按钮，按照填写的方向、委托价格和委托数量/金额下单委托。</w:t>
      </w:r>
    </w:p>
    <w:p w14:paraId="53DB93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锁定：通过单击资产账号、委托方向、委托价格右侧的锁定符“</w:t>
      </w:r>
      <w:r>
        <w:rPr>
          <w:rFonts w:hint="eastAsia" w:ascii="宋体" w:hAnsi="宋体" w:eastAsia="宋体" w:cs="宋体"/>
          <w:lang w:val="en-US" w:eastAsia="zh-CN"/>
        </w:rPr>
        <w:drawing>
          <wp:inline distT="0" distB="0" distL="114300" distR="114300">
            <wp:extent cx="228600" cy="255905"/>
            <wp:effectExtent l="0" t="0" r="0" b="0"/>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22"/>
                    <a:srcRect b="23238"/>
                    <a:stretch>
                      <a:fillRect/>
                    </a:stretch>
                  </pic:blipFill>
                  <pic:spPr>
                    <a:xfrm>
                      <a:off x="0" y="0"/>
                      <a:ext cx="228600" cy="255905"/>
                    </a:xfrm>
                    <a:prstGeom prst="rect">
                      <a:avLst/>
                    </a:prstGeom>
                    <a:noFill/>
                    <a:ln>
                      <a:noFill/>
                    </a:ln>
                  </pic:spPr>
                </pic:pic>
              </a:graphicData>
            </a:graphic>
          </wp:inline>
        </w:drawing>
      </w:r>
      <w:r>
        <w:rPr>
          <w:rFonts w:hint="eastAsia" w:ascii="宋体" w:hAnsi="宋体" w:eastAsia="宋体" w:cs="宋体"/>
          <w:lang w:val="en-US" w:eastAsia="zh-CN"/>
        </w:rPr>
        <w:t xml:space="preserve">”可对相应委托要素进行锁定。被锁定的要素不允许修改，若要修改需要再次点击锁定符进行解锁。  </w:t>
      </w:r>
    </w:p>
    <w:p w14:paraId="17A885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拆单逻辑：如果委托数量超过标的的单笔委托上限，系统会自动按照单位最大委托数量进行拆单。</w:t>
      </w:r>
    </w:p>
    <w:p w14:paraId="300D81A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行情：输入证券代码时系统会根据当前输入的内容自动匹配符合条件的标的证券并显示在下拉列表中，下拉列表支持上下方向键快速选择并支持回车键确认，确定标的证券后系统会自动刷新委托面板左侧的行情信息。</w:t>
      </w:r>
    </w:p>
    <w:p w14:paraId="0450E196">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持仓</w:t>
      </w:r>
    </w:p>
    <w:p w14:paraId="12CB57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持仓列表展示交易下单面板中选择的普通账户的持仓数据，支持按证券代码筛选及导出持仓数据。默认展示持仓明细，可切换展示持仓汇总。</w:t>
      </w:r>
    </w:p>
    <w:p w14:paraId="66D885F8">
      <w:pPr>
        <w:numPr>
          <w:ilvl w:val="0"/>
          <w:numId w:val="0"/>
        </w:numPr>
        <w:ind w:leftChars="0"/>
        <w:jc w:val="center"/>
        <w:rPr>
          <w:rFonts w:hint="eastAsia" w:ascii="宋体" w:hAnsi="宋体" w:eastAsia="宋体" w:cs="宋体"/>
        </w:rPr>
      </w:pPr>
      <w:r>
        <w:rPr>
          <w:rFonts w:hint="eastAsia" w:ascii="宋体" w:hAnsi="宋体" w:eastAsia="宋体" w:cs="宋体"/>
        </w:rPr>
        <w:drawing>
          <wp:inline distT="0" distB="0" distL="114300" distR="114300">
            <wp:extent cx="4358005" cy="2844165"/>
            <wp:effectExtent l="0" t="0" r="3175" b="5715"/>
            <wp:docPr id="1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3"/>
                    <pic:cNvPicPr>
                      <a:picLocks noChangeAspect="1"/>
                    </pic:cNvPicPr>
                  </pic:nvPicPr>
                  <pic:blipFill>
                    <a:blip r:embed="rId23"/>
                    <a:stretch>
                      <a:fillRect/>
                    </a:stretch>
                  </pic:blipFill>
                  <pic:spPr>
                    <a:xfrm>
                      <a:off x="0" y="0"/>
                      <a:ext cx="4358005" cy="2844165"/>
                    </a:xfrm>
                    <a:prstGeom prst="rect">
                      <a:avLst/>
                    </a:prstGeom>
                    <a:noFill/>
                    <a:ln>
                      <a:noFill/>
                    </a:ln>
                  </pic:spPr>
                </pic:pic>
              </a:graphicData>
            </a:graphic>
          </wp:inline>
        </w:drawing>
      </w:r>
    </w:p>
    <w:p w14:paraId="715D45E3">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账户资产</w:t>
      </w:r>
    </w:p>
    <w:p w14:paraId="4133EE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账户资产列表展示交易下单面板中选择的普通账户的资产，支持导出资产明细。</w:t>
      </w:r>
    </w:p>
    <w:p w14:paraId="62E1D26A">
      <w:pPr>
        <w:numPr>
          <w:ilvl w:val="0"/>
          <w:numId w:val="0"/>
        </w:numPr>
        <w:ind w:leftChars="0"/>
        <w:jc w:val="center"/>
        <w:rPr>
          <w:rFonts w:hint="eastAsia" w:ascii="宋体" w:hAnsi="宋体" w:eastAsia="宋体" w:cs="宋体"/>
        </w:rPr>
      </w:pPr>
      <w:r>
        <w:rPr>
          <w:rFonts w:hint="eastAsia" w:ascii="宋体" w:hAnsi="宋体" w:eastAsia="宋体" w:cs="宋体"/>
        </w:rPr>
        <w:drawing>
          <wp:inline distT="0" distB="0" distL="114300" distR="114300">
            <wp:extent cx="4483735" cy="2926715"/>
            <wp:effectExtent l="0" t="0" r="12065" b="6985"/>
            <wp:docPr id="1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
                    <pic:cNvPicPr>
                      <a:picLocks noChangeAspect="1"/>
                    </pic:cNvPicPr>
                  </pic:nvPicPr>
                  <pic:blipFill>
                    <a:blip r:embed="rId24"/>
                    <a:stretch>
                      <a:fillRect/>
                    </a:stretch>
                  </pic:blipFill>
                  <pic:spPr>
                    <a:xfrm>
                      <a:off x="0" y="0"/>
                      <a:ext cx="4483735" cy="2926715"/>
                    </a:xfrm>
                    <a:prstGeom prst="rect">
                      <a:avLst/>
                    </a:prstGeom>
                    <a:noFill/>
                    <a:ln>
                      <a:noFill/>
                    </a:ln>
                  </pic:spPr>
                </pic:pic>
              </a:graphicData>
            </a:graphic>
          </wp:inline>
        </w:drawing>
      </w:r>
    </w:p>
    <w:p w14:paraId="3AF42285">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委托明细</w:t>
      </w:r>
    </w:p>
    <w:p w14:paraId="3378D0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支持查询当前用户关联的所有普通账户的委托明细，支持按证券代码、交易员、委托状态（全部、可撤、废单）筛选订单，支持对委托订单进行干预，废单原因可查看委托明细中的“备注”字段。</w:t>
      </w:r>
    </w:p>
    <w:p w14:paraId="020E39A4">
      <w:pPr>
        <w:numPr>
          <w:ilvl w:val="0"/>
          <w:numId w:val="0"/>
        </w:numPr>
        <w:ind w:leftChars="0"/>
        <w:jc w:val="left"/>
        <w:rPr>
          <w:rFonts w:hint="eastAsia" w:ascii="宋体" w:hAnsi="宋体" w:eastAsia="宋体" w:cs="宋体"/>
          <w:lang w:val="en-US" w:eastAsia="zh-CN"/>
        </w:rPr>
      </w:pPr>
      <w:r>
        <w:rPr>
          <w:rFonts w:hint="eastAsia" w:ascii="宋体" w:hAnsi="宋体" w:eastAsia="宋体" w:cs="宋体"/>
        </w:rPr>
        <w:drawing>
          <wp:inline distT="0" distB="0" distL="114300" distR="114300">
            <wp:extent cx="5262880" cy="1113155"/>
            <wp:effectExtent l="0" t="0" r="13970" b="10795"/>
            <wp:docPr id="1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5"/>
                    <pic:cNvPicPr>
                      <a:picLocks noChangeAspect="1"/>
                    </pic:cNvPicPr>
                  </pic:nvPicPr>
                  <pic:blipFill>
                    <a:blip r:embed="rId25"/>
                    <a:stretch>
                      <a:fillRect/>
                    </a:stretch>
                  </pic:blipFill>
                  <pic:spPr>
                    <a:xfrm>
                      <a:off x="0" y="0"/>
                      <a:ext cx="5262880" cy="1113155"/>
                    </a:xfrm>
                    <a:prstGeom prst="rect">
                      <a:avLst/>
                    </a:prstGeom>
                    <a:noFill/>
                    <a:ln>
                      <a:noFill/>
                    </a:ln>
                  </pic:spPr>
                </pic:pic>
              </a:graphicData>
            </a:graphic>
          </wp:inline>
        </w:drawing>
      </w:r>
    </w:p>
    <w:p w14:paraId="14EC803B">
      <w:pPr>
        <w:numPr>
          <w:ilvl w:val="0"/>
          <w:numId w:val="0"/>
        </w:numPr>
        <w:ind w:leftChars="0"/>
        <w:jc w:val="left"/>
        <w:rPr>
          <w:rFonts w:hint="eastAsia" w:ascii="宋体" w:hAnsi="宋体" w:eastAsia="宋体" w:cs="宋体"/>
        </w:rPr>
      </w:pPr>
    </w:p>
    <w:p w14:paraId="301AF1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委托订单干预方式说明如下：</w:t>
      </w:r>
    </w:p>
    <w:p w14:paraId="566EB5CD">
      <w:pPr>
        <w:numPr>
          <w:ilvl w:val="0"/>
          <w:numId w:val="0"/>
        </w:numPr>
        <w:ind w:leftChars="0"/>
        <w:jc w:val="left"/>
        <w:rPr>
          <w:rFonts w:hint="eastAsia" w:ascii="宋体" w:hAnsi="宋体" w:eastAsia="宋体" w:cs="宋体"/>
          <w:color w:val="000000"/>
          <w:spacing w:val="-2"/>
          <w:sz w:val="21"/>
          <w:szCs w:val="21"/>
          <w:lang w:eastAsia="zh-CN"/>
        </w:rPr>
      </w:pPr>
    </w:p>
    <w:tbl>
      <w:tblPr>
        <w:tblStyle w:val="20"/>
        <w:tblpPr w:vertAnchor="text" w:horzAnchor="page" w:tblpX="1800" w:tblpY="-270"/>
        <w:tblOverlap w:val="never"/>
        <w:tblW w:w="8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83"/>
        <w:gridCol w:w="5828"/>
      </w:tblGrid>
      <w:tr w14:paraId="7E823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2388" w:type="dxa"/>
          </w:tcPr>
          <w:p w14:paraId="4D2318EA">
            <w:pPr>
              <w:spacing w:before="6"/>
              <w:ind w:firstLine="112"/>
              <w:jc w:val="center"/>
              <w:rPr>
                <w:rFonts w:hint="eastAsia" w:ascii="宋体" w:hAnsi="宋体" w:eastAsia="宋体" w:cs="宋体"/>
                <w:b/>
                <w:bCs/>
                <w:color w:val="010302"/>
              </w:rPr>
            </w:pPr>
            <w:r>
              <w:rPr>
                <w:rFonts w:hint="eastAsia" w:ascii="宋体" w:hAnsi="宋体" w:eastAsia="宋体" w:cs="宋体"/>
                <w:b/>
                <w:bCs/>
                <w:color w:val="000000"/>
                <w:sz w:val="21"/>
                <w:szCs w:val="21"/>
              </w:rPr>
              <w:t>干预</w:t>
            </w:r>
            <w:r>
              <w:rPr>
                <w:rFonts w:hint="eastAsia" w:ascii="宋体" w:hAnsi="宋体" w:eastAsia="宋体" w:cs="宋体"/>
                <w:b/>
                <w:bCs/>
                <w:color w:val="000000"/>
                <w:spacing w:val="-2"/>
                <w:sz w:val="21"/>
                <w:szCs w:val="21"/>
              </w:rPr>
              <w:t>方式</w:t>
            </w:r>
          </w:p>
        </w:tc>
        <w:tc>
          <w:tcPr>
            <w:tcW w:w="5842" w:type="dxa"/>
          </w:tcPr>
          <w:p w14:paraId="44B102D2">
            <w:pPr>
              <w:spacing w:before="6"/>
              <w:ind w:firstLine="113"/>
              <w:jc w:val="center"/>
              <w:rPr>
                <w:rFonts w:hint="eastAsia" w:ascii="宋体" w:hAnsi="宋体" w:eastAsia="宋体" w:cs="宋体"/>
                <w:b/>
                <w:bCs/>
                <w:color w:val="010302"/>
              </w:rPr>
            </w:pPr>
            <w:r>
              <w:rPr>
                <w:rFonts w:hint="eastAsia" w:ascii="宋体" w:hAnsi="宋体" w:eastAsia="宋体" w:cs="宋体"/>
                <w:b/>
                <w:bCs/>
                <w:color w:val="000000"/>
                <w:sz w:val="21"/>
                <w:szCs w:val="21"/>
              </w:rPr>
              <w:t>操作</w:t>
            </w:r>
            <w:r>
              <w:rPr>
                <w:rFonts w:hint="eastAsia" w:ascii="宋体" w:hAnsi="宋体" w:eastAsia="宋体" w:cs="宋体"/>
                <w:b/>
                <w:bCs/>
                <w:color w:val="000000"/>
                <w:spacing w:val="-2"/>
                <w:sz w:val="21"/>
                <w:szCs w:val="21"/>
              </w:rPr>
              <w:t>说明</w:t>
            </w:r>
          </w:p>
        </w:tc>
      </w:tr>
      <w:tr w14:paraId="76FEC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4" w:hRule="atLeast"/>
        </w:trPr>
        <w:tc>
          <w:tcPr>
            <w:tcW w:w="2388" w:type="dxa"/>
            <w:vAlign w:val="center"/>
          </w:tcPr>
          <w:p w14:paraId="09C6A543">
            <w:pPr>
              <w:spacing w:before="16"/>
              <w:ind w:firstLine="112"/>
              <w:jc w:val="center"/>
              <w:rPr>
                <w:rFonts w:hint="eastAsia" w:ascii="宋体" w:hAnsi="宋体" w:eastAsia="宋体" w:cs="宋体"/>
                <w:color w:val="010302"/>
              </w:rPr>
            </w:pPr>
            <w:r>
              <w:rPr>
                <w:rFonts w:hint="eastAsia" w:ascii="宋体" w:hAnsi="宋体" w:eastAsia="宋体" w:cs="宋体"/>
                <w:color w:val="000000"/>
                <w:sz w:val="21"/>
                <w:szCs w:val="21"/>
              </w:rPr>
              <w:t>撤</w:t>
            </w:r>
            <w:r>
              <w:rPr>
                <w:rFonts w:hint="eastAsia" w:ascii="宋体" w:hAnsi="宋体" w:eastAsia="宋体" w:cs="宋体"/>
                <w:color w:val="000000"/>
                <w:spacing w:val="-2"/>
                <w:sz w:val="21"/>
                <w:szCs w:val="21"/>
              </w:rPr>
              <w:t>单</w:t>
            </w:r>
          </w:p>
        </w:tc>
        <w:tc>
          <w:tcPr>
            <w:tcW w:w="5842" w:type="dxa"/>
          </w:tcPr>
          <w:p w14:paraId="3799F657">
            <w:pPr>
              <w:spacing w:before="16"/>
              <w:rPr>
                <w:rFonts w:hint="eastAsia" w:ascii="宋体" w:hAnsi="宋体" w:eastAsia="宋体" w:cs="宋体"/>
                <w:color w:val="010302"/>
                <w:lang w:eastAsia="zh-CN"/>
              </w:rPr>
            </w:pPr>
            <w:r>
              <w:rPr>
                <w:rFonts w:hint="eastAsia" w:ascii="宋体" w:hAnsi="宋体" w:eastAsia="宋体" w:cs="宋体"/>
                <w:color w:val="000000"/>
                <w:sz w:val="21"/>
                <w:szCs w:val="21"/>
                <w:lang w:eastAsia="zh-CN"/>
              </w:rPr>
              <w:t>必须</w:t>
            </w:r>
            <w:r>
              <w:rPr>
                <w:rFonts w:hint="eastAsia" w:ascii="宋体" w:hAnsi="宋体" w:eastAsia="宋体" w:cs="宋体"/>
                <w:color w:val="000000"/>
                <w:spacing w:val="-2"/>
                <w:sz w:val="21"/>
                <w:szCs w:val="21"/>
                <w:lang w:eastAsia="zh-CN"/>
              </w:rPr>
              <w:t>勾</w:t>
            </w:r>
            <w:r>
              <w:rPr>
                <w:rFonts w:hint="eastAsia" w:ascii="宋体" w:hAnsi="宋体" w:eastAsia="宋体" w:cs="宋体"/>
                <w:color w:val="000000"/>
                <w:sz w:val="21"/>
                <w:szCs w:val="21"/>
                <w:lang w:eastAsia="zh-CN"/>
              </w:rPr>
              <w:t>选</w:t>
            </w:r>
            <w:r>
              <w:rPr>
                <w:rFonts w:hint="eastAsia" w:ascii="宋体" w:hAnsi="宋体" w:eastAsia="宋体" w:cs="宋体"/>
                <w:color w:val="000000"/>
                <w:spacing w:val="-2"/>
                <w:sz w:val="21"/>
                <w:szCs w:val="21"/>
                <w:lang w:eastAsia="zh-CN"/>
              </w:rPr>
              <w:t>委</w:t>
            </w:r>
            <w:r>
              <w:rPr>
                <w:rFonts w:hint="eastAsia" w:ascii="宋体" w:hAnsi="宋体" w:eastAsia="宋体" w:cs="宋体"/>
                <w:color w:val="000000"/>
                <w:sz w:val="21"/>
                <w:szCs w:val="21"/>
                <w:lang w:eastAsia="zh-CN"/>
              </w:rPr>
              <w:t>托</w:t>
            </w:r>
            <w:r>
              <w:rPr>
                <w:rFonts w:hint="eastAsia" w:ascii="宋体" w:hAnsi="宋体" w:eastAsia="宋体" w:cs="宋体"/>
                <w:color w:val="000000"/>
                <w:spacing w:val="-2"/>
                <w:sz w:val="21"/>
                <w:szCs w:val="21"/>
                <w:lang w:eastAsia="zh-CN"/>
              </w:rPr>
              <w:t>订</w:t>
            </w:r>
            <w:r>
              <w:rPr>
                <w:rFonts w:hint="eastAsia" w:ascii="宋体" w:hAnsi="宋体" w:eastAsia="宋体" w:cs="宋体"/>
                <w:color w:val="000000"/>
                <w:sz w:val="21"/>
                <w:szCs w:val="21"/>
                <w:lang w:eastAsia="zh-CN"/>
              </w:rPr>
              <w:t>单</w:t>
            </w:r>
            <w:r>
              <w:rPr>
                <w:rFonts w:hint="eastAsia" w:ascii="宋体" w:hAnsi="宋体" w:eastAsia="宋体" w:cs="宋体"/>
                <w:color w:val="000000"/>
                <w:spacing w:val="-2"/>
                <w:sz w:val="21"/>
                <w:szCs w:val="21"/>
                <w:lang w:eastAsia="zh-CN"/>
              </w:rPr>
              <w:t>后</w:t>
            </w:r>
            <w:r>
              <w:rPr>
                <w:rFonts w:hint="eastAsia" w:ascii="宋体" w:hAnsi="宋体" w:eastAsia="宋体" w:cs="宋体"/>
                <w:color w:val="000000"/>
                <w:sz w:val="21"/>
                <w:szCs w:val="21"/>
                <w:lang w:eastAsia="zh-CN"/>
              </w:rPr>
              <w:t>才</w:t>
            </w:r>
            <w:r>
              <w:rPr>
                <w:rFonts w:hint="eastAsia" w:ascii="宋体" w:hAnsi="宋体" w:eastAsia="宋体" w:cs="宋体"/>
                <w:color w:val="000000"/>
                <w:spacing w:val="-2"/>
                <w:sz w:val="21"/>
                <w:szCs w:val="21"/>
                <w:lang w:eastAsia="zh-CN"/>
              </w:rPr>
              <w:t>能</w:t>
            </w:r>
            <w:r>
              <w:rPr>
                <w:rFonts w:hint="eastAsia" w:ascii="宋体" w:hAnsi="宋体" w:eastAsia="宋体" w:cs="宋体"/>
                <w:color w:val="000000"/>
                <w:sz w:val="21"/>
                <w:szCs w:val="21"/>
                <w:lang w:eastAsia="zh-CN"/>
              </w:rPr>
              <w:t>进行</w:t>
            </w:r>
            <w:r>
              <w:rPr>
                <w:rFonts w:hint="eastAsia" w:ascii="宋体" w:hAnsi="宋体" w:eastAsia="宋体" w:cs="宋体"/>
                <w:color w:val="000000"/>
                <w:spacing w:val="-2"/>
                <w:sz w:val="21"/>
                <w:szCs w:val="21"/>
                <w:lang w:eastAsia="zh-CN"/>
              </w:rPr>
              <w:t>此</w:t>
            </w:r>
            <w:r>
              <w:rPr>
                <w:rFonts w:hint="eastAsia" w:ascii="宋体" w:hAnsi="宋体" w:eastAsia="宋体" w:cs="宋体"/>
                <w:color w:val="000000"/>
                <w:sz w:val="21"/>
                <w:szCs w:val="21"/>
                <w:lang w:eastAsia="zh-CN"/>
              </w:rPr>
              <w:t>操</w:t>
            </w:r>
            <w:r>
              <w:rPr>
                <w:rFonts w:hint="eastAsia" w:ascii="宋体" w:hAnsi="宋体" w:eastAsia="宋体" w:cs="宋体"/>
                <w:color w:val="000000"/>
                <w:spacing w:val="-2"/>
                <w:sz w:val="21"/>
                <w:szCs w:val="21"/>
                <w:lang w:eastAsia="zh-CN"/>
              </w:rPr>
              <w:t>作</w:t>
            </w:r>
            <w:r>
              <w:rPr>
                <w:rFonts w:hint="eastAsia" w:ascii="宋体" w:hAnsi="宋体" w:eastAsia="宋体" w:cs="宋体"/>
                <w:color w:val="000000"/>
                <w:spacing w:val="-45"/>
                <w:sz w:val="21"/>
                <w:szCs w:val="21"/>
                <w:lang w:eastAsia="zh-CN"/>
              </w:rPr>
              <w:t>，</w:t>
            </w:r>
            <w:r>
              <w:rPr>
                <w:rFonts w:hint="eastAsia" w:ascii="宋体" w:hAnsi="宋体" w:eastAsia="宋体" w:cs="宋体"/>
                <w:color w:val="000000"/>
                <w:spacing w:val="-2"/>
                <w:sz w:val="21"/>
                <w:szCs w:val="21"/>
                <w:lang w:eastAsia="zh-CN"/>
              </w:rPr>
              <w:t>对</w:t>
            </w:r>
            <w:r>
              <w:rPr>
                <w:rFonts w:hint="eastAsia" w:ascii="宋体" w:hAnsi="宋体" w:eastAsia="宋体" w:cs="宋体"/>
                <w:color w:val="000000"/>
                <w:sz w:val="21"/>
                <w:szCs w:val="21"/>
                <w:lang w:eastAsia="zh-CN"/>
              </w:rPr>
              <w:t>勾</w:t>
            </w:r>
            <w:r>
              <w:rPr>
                <w:rFonts w:hint="eastAsia" w:ascii="宋体" w:hAnsi="宋体" w:eastAsia="宋体" w:cs="宋体"/>
                <w:color w:val="000000"/>
                <w:spacing w:val="-2"/>
                <w:sz w:val="21"/>
                <w:szCs w:val="21"/>
                <w:lang w:eastAsia="zh-CN"/>
              </w:rPr>
              <w:t>选</w:t>
            </w:r>
            <w:r>
              <w:rPr>
                <w:rFonts w:hint="eastAsia" w:ascii="宋体" w:hAnsi="宋体" w:eastAsia="宋体" w:cs="宋体"/>
                <w:color w:val="000000"/>
                <w:sz w:val="21"/>
                <w:szCs w:val="21"/>
                <w:lang w:eastAsia="zh-CN"/>
              </w:rPr>
              <w:t>的</w:t>
            </w:r>
            <w:r>
              <w:rPr>
                <w:rFonts w:hint="eastAsia" w:ascii="宋体" w:hAnsi="宋体" w:eastAsia="宋体" w:cs="宋体"/>
                <w:color w:val="000000"/>
                <w:spacing w:val="-2"/>
                <w:sz w:val="21"/>
                <w:szCs w:val="21"/>
                <w:lang w:eastAsia="zh-CN"/>
              </w:rPr>
              <w:t>可</w:t>
            </w:r>
            <w:r>
              <w:rPr>
                <w:rFonts w:hint="eastAsia" w:ascii="宋体" w:hAnsi="宋体" w:eastAsia="宋体" w:cs="宋体"/>
                <w:color w:val="000000"/>
                <w:sz w:val="21"/>
                <w:szCs w:val="21"/>
                <w:lang w:eastAsia="zh-CN"/>
              </w:rPr>
              <w:t>撤订</w:t>
            </w:r>
            <w:r>
              <w:rPr>
                <w:rFonts w:hint="eastAsia" w:ascii="宋体" w:hAnsi="宋体" w:eastAsia="宋体" w:cs="宋体"/>
                <w:color w:val="000000"/>
                <w:spacing w:val="-2"/>
                <w:sz w:val="21"/>
                <w:szCs w:val="21"/>
                <w:lang w:eastAsia="zh-CN"/>
              </w:rPr>
              <w:t>单</w:t>
            </w:r>
            <w:r>
              <w:rPr>
                <w:rFonts w:hint="eastAsia" w:ascii="宋体" w:hAnsi="宋体" w:eastAsia="宋体" w:cs="宋体"/>
                <w:color w:val="000000"/>
                <w:sz w:val="21"/>
                <w:szCs w:val="21"/>
                <w:lang w:eastAsia="zh-CN"/>
              </w:rPr>
              <w:t>进行</w:t>
            </w:r>
            <w:r>
              <w:rPr>
                <w:rFonts w:hint="eastAsia" w:ascii="宋体" w:hAnsi="宋体" w:eastAsia="宋体" w:cs="宋体"/>
                <w:sz w:val="21"/>
                <w:szCs w:val="21"/>
                <w:lang w:eastAsia="zh-CN"/>
              </w:rPr>
              <w:t xml:space="preserve"> </w:t>
            </w:r>
          </w:p>
          <w:p w14:paraId="59298D3E">
            <w:pPr>
              <w:spacing w:before="30"/>
              <w:rPr>
                <w:rFonts w:hint="eastAsia" w:ascii="宋体" w:hAnsi="宋体" w:eastAsia="宋体" w:cs="宋体"/>
                <w:color w:val="010302"/>
              </w:rPr>
            </w:pPr>
            <w:r>
              <w:rPr>
                <w:rFonts w:hint="eastAsia" w:ascii="宋体" w:hAnsi="宋体" w:eastAsia="宋体" w:cs="宋体"/>
                <w:color w:val="000000"/>
                <w:sz w:val="21"/>
                <w:szCs w:val="21"/>
              </w:rPr>
              <w:t>撤</w:t>
            </w:r>
            <w:r>
              <w:rPr>
                <w:rFonts w:hint="eastAsia" w:ascii="宋体" w:hAnsi="宋体" w:eastAsia="宋体" w:cs="宋体"/>
                <w:color w:val="000000"/>
                <w:spacing w:val="-2"/>
                <w:sz w:val="21"/>
                <w:szCs w:val="21"/>
              </w:rPr>
              <w:t>单</w:t>
            </w:r>
            <w:r>
              <w:rPr>
                <w:rFonts w:hint="eastAsia" w:ascii="宋体" w:hAnsi="宋体" w:eastAsia="宋体" w:cs="宋体"/>
                <w:color w:val="000000"/>
                <w:sz w:val="21"/>
                <w:szCs w:val="21"/>
              </w:rPr>
              <w:t xml:space="preserve">  </w:t>
            </w:r>
          </w:p>
        </w:tc>
      </w:tr>
      <w:tr w14:paraId="568C6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3" w:hRule="atLeast"/>
        </w:trPr>
        <w:tc>
          <w:tcPr>
            <w:tcW w:w="2388" w:type="dxa"/>
            <w:vAlign w:val="center"/>
          </w:tcPr>
          <w:p w14:paraId="4C421440">
            <w:pPr>
              <w:spacing w:before="16"/>
              <w:ind w:firstLine="112"/>
              <w:jc w:val="center"/>
              <w:rPr>
                <w:rFonts w:hint="eastAsia" w:ascii="宋体" w:hAnsi="宋体" w:eastAsia="宋体" w:cs="宋体"/>
                <w:color w:val="010302"/>
              </w:rPr>
            </w:pPr>
            <w:r>
              <w:rPr>
                <w:rFonts w:hint="eastAsia" w:ascii="宋体" w:hAnsi="宋体" w:eastAsia="宋体" w:cs="宋体"/>
                <w:color w:val="000000"/>
                <w:sz w:val="21"/>
                <w:szCs w:val="21"/>
              </w:rPr>
              <w:t>撤</w:t>
            </w:r>
            <w:r>
              <w:rPr>
                <w:rFonts w:hint="eastAsia" w:ascii="宋体" w:hAnsi="宋体" w:eastAsia="宋体" w:cs="宋体"/>
                <w:color w:val="000000"/>
                <w:spacing w:val="-2"/>
                <w:sz w:val="21"/>
                <w:szCs w:val="21"/>
              </w:rPr>
              <w:t>买</w:t>
            </w:r>
          </w:p>
        </w:tc>
        <w:tc>
          <w:tcPr>
            <w:tcW w:w="5842" w:type="dxa"/>
          </w:tcPr>
          <w:p w14:paraId="6C6EF12D">
            <w:pPr>
              <w:spacing w:before="16"/>
              <w:rPr>
                <w:rFonts w:hint="eastAsia" w:ascii="宋体" w:hAnsi="宋体" w:eastAsia="宋体" w:cs="宋体"/>
                <w:color w:val="010302"/>
                <w:lang w:eastAsia="zh-CN"/>
              </w:rPr>
            </w:pPr>
            <w:r>
              <w:rPr>
                <w:rFonts w:hint="eastAsia" w:ascii="宋体" w:hAnsi="宋体" w:eastAsia="宋体" w:cs="宋体"/>
                <w:color w:val="000000"/>
                <w:sz w:val="21"/>
                <w:szCs w:val="21"/>
                <w:lang w:eastAsia="zh-CN"/>
              </w:rPr>
              <w:t>对符</w:t>
            </w:r>
            <w:r>
              <w:rPr>
                <w:rFonts w:hint="eastAsia" w:ascii="宋体" w:hAnsi="宋体" w:eastAsia="宋体" w:cs="宋体"/>
                <w:color w:val="000000"/>
                <w:spacing w:val="-2"/>
                <w:sz w:val="21"/>
                <w:szCs w:val="21"/>
                <w:lang w:eastAsia="zh-CN"/>
              </w:rPr>
              <w:t>合</w:t>
            </w:r>
            <w:r>
              <w:rPr>
                <w:rFonts w:hint="eastAsia" w:ascii="宋体" w:hAnsi="宋体" w:eastAsia="宋体" w:cs="宋体"/>
                <w:color w:val="000000"/>
                <w:sz w:val="21"/>
                <w:szCs w:val="21"/>
                <w:lang w:eastAsia="zh-CN"/>
              </w:rPr>
              <w:t>筛</w:t>
            </w:r>
            <w:r>
              <w:rPr>
                <w:rFonts w:hint="eastAsia" w:ascii="宋体" w:hAnsi="宋体" w:eastAsia="宋体" w:cs="宋体"/>
                <w:color w:val="000000"/>
                <w:spacing w:val="-2"/>
                <w:sz w:val="21"/>
                <w:szCs w:val="21"/>
                <w:lang w:eastAsia="zh-CN"/>
              </w:rPr>
              <w:t>选</w:t>
            </w:r>
            <w:r>
              <w:rPr>
                <w:rFonts w:hint="eastAsia" w:ascii="宋体" w:hAnsi="宋体" w:eastAsia="宋体" w:cs="宋体"/>
                <w:color w:val="000000"/>
                <w:sz w:val="21"/>
                <w:szCs w:val="21"/>
                <w:lang w:eastAsia="zh-CN"/>
              </w:rPr>
              <w:t>条</w:t>
            </w:r>
            <w:r>
              <w:rPr>
                <w:rFonts w:hint="eastAsia" w:ascii="宋体" w:hAnsi="宋体" w:eastAsia="宋体" w:cs="宋体"/>
                <w:color w:val="000000"/>
                <w:spacing w:val="-16"/>
                <w:sz w:val="21"/>
                <w:szCs w:val="21"/>
                <w:lang w:eastAsia="zh-CN"/>
              </w:rPr>
              <w:t>件</w:t>
            </w:r>
            <w:r>
              <w:rPr>
                <w:rFonts w:hint="eastAsia" w:ascii="宋体" w:hAnsi="宋体" w:eastAsia="宋体" w:cs="宋体"/>
                <w:color w:val="000000"/>
                <w:spacing w:val="-2"/>
                <w:sz w:val="21"/>
                <w:szCs w:val="21"/>
                <w:lang w:eastAsia="zh-CN"/>
              </w:rPr>
              <w:t>（</w:t>
            </w:r>
            <w:r>
              <w:rPr>
                <w:rFonts w:hint="eastAsia" w:ascii="宋体" w:hAnsi="宋体" w:eastAsia="宋体" w:cs="宋体"/>
                <w:color w:val="000000"/>
                <w:sz w:val="21"/>
                <w:szCs w:val="21"/>
                <w:lang w:eastAsia="zh-CN"/>
              </w:rPr>
              <w:t>资</w:t>
            </w:r>
            <w:r>
              <w:rPr>
                <w:rFonts w:hint="eastAsia" w:ascii="宋体" w:hAnsi="宋体" w:eastAsia="宋体" w:cs="宋体"/>
                <w:color w:val="000000"/>
                <w:spacing w:val="-2"/>
                <w:sz w:val="21"/>
                <w:szCs w:val="21"/>
                <w:lang w:eastAsia="zh-CN"/>
              </w:rPr>
              <w:t>产账</w:t>
            </w:r>
            <w:r>
              <w:rPr>
                <w:rFonts w:hint="eastAsia" w:ascii="宋体" w:hAnsi="宋体" w:eastAsia="宋体" w:cs="宋体"/>
                <w:color w:val="000000"/>
                <w:sz w:val="21"/>
                <w:szCs w:val="21"/>
                <w:lang w:eastAsia="zh-CN"/>
              </w:rPr>
              <w:t>号</w:t>
            </w:r>
            <w:r>
              <w:rPr>
                <w:rFonts w:hint="eastAsia" w:ascii="宋体" w:hAnsi="宋体" w:eastAsia="宋体" w:cs="宋体"/>
                <w:color w:val="000000"/>
                <w:spacing w:val="-16"/>
                <w:sz w:val="21"/>
                <w:szCs w:val="21"/>
                <w:lang w:eastAsia="zh-CN"/>
              </w:rPr>
              <w:t>、</w:t>
            </w:r>
            <w:r>
              <w:rPr>
                <w:rFonts w:hint="eastAsia" w:ascii="宋体" w:hAnsi="宋体" w:eastAsia="宋体" w:cs="宋体"/>
                <w:color w:val="000000"/>
                <w:sz w:val="21"/>
                <w:szCs w:val="21"/>
                <w:lang w:eastAsia="zh-CN"/>
              </w:rPr>
              <w:t>证</w:t>
            </w:r>
            <w:r>
              <w:rPr>
                <w:rFonts w:hint="eastAsia" w:ascii="宋体" w:hAnsi="宋体" w:eastAsia="宋体" w:cs="宋体"/>
                <w:color w:val="000000"/>
                <w:spacing w:val="-2"/>
                <w:sz w:val="21"/>
                <w:szCs w:val="21"/>
                <w:lang w:eastAsia="zh-CN"/>
              </w:rPr>
              <w:t>券</w:t>
            </w:r>
            <w:r>
              <w:rPr>
                <w:rFonts w:hint="eastAsia" w:ascii="宋体" w:hAnsi="宋体" w:eastAsia="宋体" w:cs="宋体"/>
                <w:color w:val="000000"/>
                <w:sz w:val="21"/>
                <w:szCs w:val="21"/>
                <w:lang w:eastAsia="zh-CN"/>
              </w:rPr>
              <w:t>代</w:t>
            </w:r>
            <w:r>
              <w:rPr>
                <w:rFonts w:hint="eastAsia" w:ascii="宋体" w:hAnsi="宋体" w:eastAsia="宋体" w:cs="宋体"/>
                <w:color w:val="000000"/>
                <w:spacing w:val="-2"/>
                <w:sz w:val="21"/>
                <w:szCs w:val="21"/>
                <w:lang w:eastAsia="zh-CN"/>
              </w:rPr>
              <w:t>码</w:t>
            </w:r>
            <w:r>
              <w:rPr>
                <w:rFonts w:hint="eastAsia" w:ascii="宋体" w:hAnsi="宋体" w:eastAsia="宋体" w:cs="宋体"/>
                <w:color w:val="000000"/>
                <w:sz w:val="21"/>
                <w:szCs w:val="21"/>
                <w:lang w:eastAsia="zh-CN"/>
              </w:rPr>
              <w:t>和</w:t>
            </w:r>
            <w:r>
              <w:rPr>
                <w:rFonts w:hint="eastAsia" w:ascii="宋体" w:hAnsi="宋体" w:eastAsia="宋体" w:cs="宋体"/>
                <w:color w:val="000000"/>
                <w:spacing w:val="-2"/>
                <w:sz w:val="21"/>
                <w:szCs w:val="21"/>
                <w:lang w:eastAsia="zh-CN"/>
              </w:rPr>
              <w:t>交</w:t>
            </w:r>
            <w:r>
              <w:rPr>
                <w:rFonts w:hint="eastAsia" w:ascii="宋体" w:hAnsi="宋体" w:eastAsia="宋体" w:cs="宋体"/>
                <w:color w:val="000000"/>
                <w:sz w:val="21"/>
                <w:szCs w:val="21"/>
                <w:lang w:eastAsia="zh-CN"/>
              </w:rPr>
              <w:t>易</w:t>
            </w:r>
            <w:r>
              <w:rPr>
                <w:rFonts w:hint="eastAsia" w:ascii="宋体" w:hAnsi="宋体" w:eastAsia="宋体" w:cs="宋体"/>
                <w:color w:val="000000"/>
                <w:spacing w:val="-2"/>
                <w:sz w:val="21"/>
                <w:szCs w:val="21"/>
                <w:lang w:eastAsia="zh-CN"/>
              </w:rPr>
              <w:t>员</w:t>
            </w:r>
            <w:r>
              <w:rPr>
                <w:rFonts w:hint="eastAsia" w:ascii="宋体" w:hAnsi="宋体" w:eastAsia="宋体" w:cs="宋体"/>
                <w:color w:val="000000"/>
                <w:spacing w:val="-16"/>
                <w:sz w:val="21"/>
                <w:szCs w:val="21"/>
                <w:lang w:eastAsia="zh-CN"/>
              </w:rPr>
              <w:t>）</w:t>
            </w:r>
            <w:r>
              <w:rPr>
                <w:rFonts w:hint="eastAsia" w:ascii="宋体" w:hAnsi="宋体" w:eastAsia="宋体" w:cs="宋体"/>
                <w:color w:val="000000"/>
                <w:sz w:val="21"/>
                <w:szCs w:val="21"/>
                <w:lang w:eastAsia="zh-CN"/>
              </w:rPr>
              <w:t>的全</w:t>
            </w:r>
            <w:r>
              <w:rPr>
                <w:rFonts w:hint="eastAsia" w:ascii="宋体" w:hAnsi="宋体" w:eastAsia="宋体" w:cs="宋体"/>
                <w:color w:val="000000"/>
                <w:spacing w:val="-2"/>
                <w:sz w:val="21"/>
                <w:szCs w:val="21"/>
                <w:lang w:eastAsia="zh-CN"/>
              </w:rPr>
              <w:t>部</w:t>
            </w:r>
            <w:r>
              <w:rPr>
                <w:rFonts w:hint="eastAsia" w:ascii="宋体" w:hAnsi="宋体" w:eastAsia="宋体" w:cs="宋体"/>
                <w:color w:val="000000"/>
                <w:sz w:val="21"/>
                <w:szCs w:val="21"/>
                <w:lang w:eastAsia="zh-CN"/>
              </w:rPr>
              <w:t>买方</w:t>
            </w:r>
            <w:r>
              <w:rPr>
                <w:rFonts w:hint="eastAsia" w:ascii="宋体" w:hAnsi="宋体" w:eastAsia="宋体" w:cs="宋体"/>
                <w:sz w:val="21"/>
                <w:szCs w:val="21"/>
                <w:lang w:eastAsia="zh-CN"/>
              </w:rPr>
              <w:t xml:space="preserve"> </w:t>
            </w:r>
          </w:p>
          <w:p w14:paraId="2158D335">
            <w:pPr>
              <w:spacing w:before="31"/>
              <w:rPr>
                <w:rFonts w:hint="eastAsia" w:ascii="宋体" w:hAnsi="宋体" w:eastAsia="宋体" w:cs="宋体"/>
                <w:color w:val="010302"/>
                <w:lang w:eastAsia="zh-CN"/>
              </w:rPr>
            </w:pPr>
            <w:r>
              <w:rPr>
                <w:rFonts w:hint="eastAsia" w:ascii="宋体" w:hAnsi="宋体" w:eastAsia="宋体" w:cs="宋体"/>
                <w:color w:val="000000"/>
                <w:sz w:val="21"/>
                <w:szCs w:val="21"/>
                <w:lang w:eastAsia="zh-CN"/>
              </w:rPr>
              <w:t>向的</w:t>
            </w:r>
            <w:r>
              <w:rPr>
                <w:rFonts w:hint="eastAsia" w:ascii="宋体" w:hAnsi="宋体" w:eastAsia="宋体" w:cs="宋体"/>
                <w:color w:val="000000"/>
                <w:spacing w:val="-2"/>
                <w:sz w:val="21"/>
                <w:szCs w:val="21"/>
                <w:lang w:eastAsia="zh-CN"/>
              </w:rPr>
              <w:t>可</w:t>
            </w:r>
            <w:r>
              <w:rPr>
                <w:rFonts w:hint="eastAsia" w:ascii="宋体" w:hAnsi="宋体" w:eastAsia="宋体" w:cs="宋体"/>
                <w:color w:val="000000"/>
                <w:sz w:val="21"/>
                <w:szCs w:val="21"/>
                <w:lang w:eastAsia="zh-CN"/>
              </w:rPr>
              <w:t>撤</w:t>
            </w:r>
            <w:r>
              <w:rPr>
                <w:rFonts w:hint="eastAsia" w:ascii="宋体" w:hAnsi="宋体" w:eastAsia="宋体" w:cs="宋体"/>
                <w:color w:val="000000"/>
                <w:spacing w:val="-2"/>
                <w:sz w:val="21"/>
                <w:szCs w:val="21"/>
                <w:lang w:eastAsia="zh-CN"/>
              </w:rPr>
              <w:t>订</w:t>
            </w:r>
            <w:r>
              <w:rPr>
                <w:rFonts w:hint="eastAsia" w:ascii="宋体" w:hAnsi="宋体" w:eastAsia="宋体" w:cs="宋体"/>
                <w:color w:val="000000"/>
                <w:sz w:val="21"/>
                <w:szCs w:val="21"/>
                <w:lang w:eastAsia="zh-CN"/>
              </w:rPr>
              <w:t>单</w:t>
            </w:r>
            <w:r>
              <w:rPr>
                <w:rFonts w:hint="eastAsia" w:ascii="宋体" w:hAnsi="宋体" w:eastAsia="宋体" w:cs="宋体"/>
                <w:color w:val="000000"/>
                <w:spacing w:val="-2"/>
                <w:sz w:val="21"/>
                <w:szCs w:val="21"/>
                <w:lang w:eastAsia="zh-CN"/>
              </w:rPr>
              <w:t>进</w:t>
            </w:r>
            <w:r>
              <w:rPr>
                <w:rFonts w:hint="eastAsia" w:ascii="宋体" w:hAnsi="宋体" w:eastAsia="宋体" w:cs="宋体"/>
                <w:color w:val="000000"/>
                <w:sz w:val="21"/>
                <w:szCs w:val="21"/>
                <w:lang w:eastAsia="zh-CN"/>
              </w:rPr>
              <w:t>行</w:t>
            </w:r>
            <w:r>
              <w:rPr>
                <w:rFonts w:hint="eastAsia" w:ascii="宋体" w:hAnsi="宋体" w:eastAsia="宋体" w:cs="宋体"/>
                <w:color w:val="000000"/>
                <w:spacing w:val="-2"/>
                <w:sz w:val="21"/>
                <w:szCs w:val="21"/>
                <w:lang w:eastAsia="zh-CN"/>
              </w:rPr>
              <w:t>撤</w:t>
            </w:r>
            <w:r>
              <w:rPr>
                <w:rFonts w:hint="eastAsia" w:ascii="宋体" w:hAnsi="宋体" w:eastAsia="宋体" w:cs="宋体"/>
                <w:color w:val="000000"/>
                <w:sz w:val="21"/>
                <w:szCs w:val="21"/>
                <w:lang w:eastAsia="zh-CN"/>
              </w:rPr>
              <w:t>单</w:t>
            </w:r>
            <w:r>
              <w:rPr>
                <w:rFonts w:hint="eastAsia" w:ascii="宋体" w:hAnsi="宋体" w:eastAsia="宋体" w:cs="宋体"/>
                <w:color w:val="000000"/>
                <w:spacing w:val="-2"/>
                <w:sz w:val="21"/>
                <w:szCs w:val="21"/>
                <w:lang w:eastAsia="zh-CN"/>
              </w:rPr>
              <w:t>（</w:t>
            </w:r>
            <w:r>
              <w:rPr>
                <w:rFonts w:hint="eastAsia" w:ascii="宋体" w:hAnsi="宋体" w:eastAsia="宋体" w:cs="宋体"/>
                <w:color w:val="000000"/>
                <w:sz w:val="21"/>
                <w:szCs w:val="21"/>
                <w:lang w:eastAsia="zh-CN"/>
              </w:rPr>
              <w:t>与订</w:t>
            </w:r>
            <w:r>
              <w:rPr>
                <w:rFonts w:hint="eastAsia" w:ascii="宋体" w:hAnsi="宋体" w:eastAsia="宋体" w:cs="宋体"/>
                <w:color w:val="000000"/>
                <w:spacing w:val="-2"/>
                <w:sz w:val="21"/>
                <w:szCs w:val="21"/>
                <w:lang w:eastAsia="zh-CN"/>
              </w:rPr>
              <w:t>单</w:t>
            </w:r>
            <w:r>
              <w:rPr>
                <w:rFonts w:hint="eastAsia" w:ascii="宋体" w:hAnsi="宋体" w:eastAsia="宋体" w:cs="宋体"/>
                <w:color w:val="000000"/>
                <w:sz w:val="21"/>
                <w:szCs w:val="21"/>
                <w:lang w:eastAsia="zh-CN"/>
              </w:rPr>
              <w:t>勾</w:t>
            </w:r>
            <w:r>
              <w:rPr>
                <w:rFonts w:hint="eastAsia" w:ascii="宋体" w:hAnsi="宋体" w:eastAsia="宋体" w:cs="宋体"/>
                <w:color w:val="000000"/>
                <w:spacing w:val="-2"/>
                <w:sz w:val="21"/>
                <w:szCs w:val="21"/>
                <w:lang w:eastAsia="zh-CN"/>
              </w:rPr>
              <w:t>选</w:t>
            </w:r>
            <w:r>
              <w:rPr>
                <w:rFonts w:hint="eastAsia" w:ascii="宋体" w:hAnsi="宋体" w:eastAsia="宋体" w:cs="宋体"/>
                <w:color w:val="000000"/>
                <w:sz w:val="21"/>
                <w:szCs w:val="21"/>
                <w:lang w:eastAsia="zh-CN"/>
              </w:rPr>
              <w:t>情</w:t>
            </w:r>
            <w:r>
              <w:rPr>
                <w:rFonts w:hint="eastAsia" w:ascii="宋体" w:hAnsi="宋体" w:eastAsia="宋体" w:cs="宋体"/>
                <w:color w:val="000000"/>
                <w:spacing w:val="-2"/>
                <w:sz w:val="21"/>
                <w:szCs w:val="21"/>
                <w:lang w:eastAsia="zh-CN"/>
              </w:rPr>
              <w:t>况</w:t>
            </w:r>
            <w:r>
              <w:rPr>
                <w:rFonts w:hint="eastAsia" w:ascii="宋体" w:hAnsi="宋体" w:eastAsia="宋体" w:cs="宋体"/>
                <w:color w:val="000000"/>
                <w:sz w:val="21"/>
                <w:szCs w:val="21"/>
                <w:lang w:eastAsia="zh-CN"/>
              </w:rPr>
              <w:t>无</w:t>
            </w:r>
            <w:r>
              <w:rPr>
                <w:rFonts w:hint="eastAsia" w:ascii="宋体" w:hAnsi="宋体" w:eastAsia="宋体" w:cs="宋体"/>
                <w:color w:val="000000"/>
                <w:spacing w:val="-2"/>
                <w:sz w:val="21"/>
                <w:szCs w:val="21"/>
                <w:lang w:eastAsia="zh-CN"/>
              </w:rPr>
              <w:t>关）</w:t>
            </w:r>
            <w:r>
              <w:rPr>
                <w:rFonts w:hint="eastAsia" w:ascii="宋体" w:hAnsi="宋体" w:eastAsia="宋体" w:cs="宋体"/>
                <w:color w:val="000000"/>
                <w:sz w:val="21"/>
                <w:szCs w:val="21"/>
                <w:lang w:eastAsia="zh-CN"/>
              </w:rPr>
              <w:t xml:space="preserve">  </w:t>
            </w:r>
          </w:p>
        </w:tc>
      </w:tr>
      <w:tr w14:paraId="36EEE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6" w:hRule="atLeast"/>
        </w:trPr>
        <w:tc>
          <w:tcPr>
            <w:tcW w:w="2388" w:type="dxa"/>
            <w:vAlign w:val="center"/>
          </w:tcPr>
          <w:p w14:paraId="3D834DD1">
            <w:pPr>
              <w:spacing w:before="19"/>
              <w:ind w:firstLine="112"/>
              <w:jc w:val="center"/>
              <w:rPr>
                <w:rFonts w:hint="eastAsia" w:ascii="宋体" w:hAnsi="宋体" w:eastAsia="宋体" w:cs="宋体"/>
                <w:color w:val="010302"/>
              </w:rPr>
            </w:pPr>
            <w:r>
              <w:rPr>
                <w:rFonts w:hint="eastAsia" w:ascii="宋体" w:hAnsi="宋体" w:eastAsia="宋体" w:cs="宋体"/>
                <w:color w:val="000000"/>
                <w:sz w:val="21"/>
                <w:szCs w:val="21"/>
              </w:rPr>
              <w:t>撤</w:t>
            </w:r>
            <w:r>
              <w:rPr>
                <w:rFonts w:hint="eastAsia" w:ascii="宋体" w:hAnsi="宋体" w:eastAsia="宋体" w:cs="宋体"/>
                <w:color w:val="000000"/>
                <w:spacing w:val="-2"/>
                <w:sz w:val="21"/>
                <w:szCs w:val="21"/>
              </w:rPr>
              <w:t>卖</w:t>
            </w:r>
          </w:p>
        </w:tc>
        <w:tc>
          <w:tcPr>
            <w:tcW w:w="5842" w:type="dxa"/>
          </w:tcPr>
          <w:p w14:paraId="7ABD563E">
            <w:pPr>
              <w:spacing w:before="19"/>
              <w:rPr>
                <w:rFonts w:hint="eastAsia" w:ascii="宋体" w:hAnsi="宋体" w:eastAsia="宋体" w:cs="宋体"/>
                <w:color w:val="010302"/>
                <w:lang w:eastAsia="zh-CN"/>
              </w:rPr>
            </w:pPr>
            <w:r>
              <w:rPr>
                <w:rFonts w:hint="eastAsia" w:ascii="宋体" w:hAnsi="宋体" w:eastAsia="宋体" w:cs="宋体"/>
                <w:color w:val="000000"/>
                <w:sz w:val="21"/>
                <w:szCs w:val="21"/>
                <w:lang w:eastAsia="zh-CN"/>
              </w:rPr>
              <w:t>对符</w:t>
            </w:r>
            <w:r>
              <w:rPr>
                <w:rFonts w:hint="eastAsia" w:ascii="宋体" w:hAnsi="宋体" w:eastAsia="宋体" w:cs="宋体"/>
                <w:color w:val="000000"/>
                <w:spacing w:val="-2"/>
                <w:sz w:val="21"/>
                <w:szCs w:val="21"/>
                <w:lang w:eastAsia="zh-CN"/>
              </w:rPr>
              <w:t>合</w:t>
            </w:r>
            <w:r>
              <w:rPr>
                <w:rFonts w:hint="eastAsia" w:ascii="宋体" w:hAnsi="宋体" w:eastAsia="宋体" w:cs="宋体"/>
                <w:color w:val="000000"/>
                <w:sz w:val="21"/>
                <w:szCs w:val="21"/>
                <w:lang w:eastAsia="zh-CN"/>
              </w:rPr>
              <w:t>筛</w:t>
            </w:r>
            <w:r>
              <w:rPr>
                <w:rFonts w:hint="eastAsia" w:ascii="宋体" w:hAnsi="宋体" w:eastAsia="宋体" w:cs="宋体"/>
                <w:color w:val="000000"/>
                <w:spacing w:val="-2"/>
                <w:sz w:val="21"/>
                <w:szCs w:val="21"/>
                <w:lang w:eastAsia="zh-CN"/>
              </w:rPr>
              <w:t>选</w:t>
            </w:r>
            <w:r>
              <w:rPr>
                <w:rFonts w:hint="eastAsia" w:ascii="宋体" w:hAnsi="宋体" w:eastAsia="宋体" w:cs="宋体"/>
                <w:color w:val="000000"/>
                <w:sz w:val="21"/>
                <w:szCs w:val="21"/>
                <w:lang w:eastAsia="zh-CN"/>
              </w:rPr>
              <w:t>条</w:t>
            </w:r>
            <w:r>
              <w:rPr>
                <w:rFonts w:hint="eastAsia" w:ascii="宋体" w:hAnsi="宋体" w:eastAsia="宋体" w:cs="宋体"/>
                <w:color w:val="000000"/>
                <w:spacing w:val="-16"/>
                <w:sz w:val="21"/>
                <w:szCs w:val="21"/>
                <w:lang w:eastAsia="zh-CN"/>
              </w:rPr>
              <w:t>件</w:t>
            </w:r>
            <w:r>
              <w:rPr>
                <w:rFonts w:hint="eastAsia" w:ascii="宋体" w:hAnsi="宋体" w:eastAsia="宋体" w:cs="宋体"/>
                <w:color w:val="000000"/>
                <w:spacing w:val="-2"/>
                <w:sz w:val="21"/>
                <w:szCs w:val="21"/>
                <w:lang w:eastAsia="zh-CN"/>
              </w:rPr>
              <w:t>（</w:t>
            </w:r>
            <w:r>
              <w:rPr>
                <w:rFonts w:hint="eastAsia" w:ascii="宋体" w:hAnsi="宋体" w:eastAsia="宋体" w:cs="宋体"/>
                <w:color w:val="000000"/>
                <w:sz w:val="21"/>
                <w:szCs w:val="21"/>
                <w:lang w:eastAsia="zh-CN"/>
              </w:rPr>
              <w:t>资</w:t>
            </w:r>
            <w:r>
              <w:rPr>
                <w:rFonts w:hint="eastAsia" w:ascii="宋体" w:hAnsi="宋体" w:eastAsia="宋体" w:cs="宋体"/>
                <w:color w:val="000000"/>
                <w:spacing w:val="-2"/>
                <w:sz w:val="21"/>
                <w:szCs w:val="21"/>
                <w:lang w:eastAsia="zh-CN"/>
              </w:rPr>
              <w:t>产账</w:t>
            </w:r>
            <w:r>
              <w:rPr>
                <w:rFonts w:hint="eastAsia" w:ascii="宋体" w:hAnsi="宋体" w:eastAsia="宋体" w:cs="宋体"/>
                <w:color w:val="000000"/>
                <w:sz w:val="21"/>
                <w:szCs w:val="21"/>
                <w:lang w:eastAsia="zh-CN"/>
              </w:rPr>
              <w:t>号</w:t>
            </w:r>
            <w:r>
              <w:rPr>
                <w:rFonts w:hint="eastAsia" w:ascii="宋体" w:hAnsi="宋体" w:eastAsia="宋体" w:cs="宋体"/>
                <w:color w:val="000000"/>
                <w:spacing w:val="-16"/>
                <w:sz w:val="21"/>
                <w:szCs w:val="21"/>
                <w:lang w:eastAsia="zh-CN"/>
              </w:rPr>
              <w:t>、</w:t>
            </w:r>
            <w:r>
              <w:rPr>
                <w:rFonts w:hint="eastAsia" w:ascii="宋体" w:hAnsi="宋体" w:eastAsia="宋体" w:cs="宋体"/>
                <w:color w:val="000000"/>
                <w:sz w:val="21"/>
                <w:szCs w:val="21"/>
                <w:lang w:eastAsia="zh-CN"/>
              </w:rPr>
              <w:t>证</w:t>
            </w:r>
            <w:r>
              <w:rPr>
                <w:rFonts w:hint="eastAsia" w:ascii="宋体" w:hAnsi="宋体" w:eastAsia="宋体" w:cs="宋体"/>
                <w:color w:val="000000"/>
                <w:spacing w:val="-2"/>
                <w:sz w:val="21"/>
                <w:szCs w:val="21"/>
                <w:lang w:eastAsia="zh-CN"/>
              </w:rPr>
              <w:t>券</w:t>
            </w:r>
            <w:r>
              <w:rPr>
                <w:rFonts w:hint="eastAsia" w:ascii="宋体" w:hAnsi="宋体" w:eastAsia="宋体" w:cs="宋体"/>
                <w:color w:val="000000"/>
                <w:sz w:val="21"/>
                <w:szCs w:val="21"/>
                <w:lang w:eastAsia="zh-CN"/>
              </w:rPr>
              <w:t>代</w:t>
            </w:r>
            <w:r>
              <w:rPr>
                <w:rFonts w:hint="eastAsia" w:ascii="宋体" w:hAnsi="宋体" w:eastAsia="宋体" w:cs="宋体"/>
                <w:color w:val="000000"/>
                <w:spacing w:val="-2"/>
                <w:sz w:val="21"/>
                <w:szCs w:val="21"/>
                <w:lang w:eastAsia="zh-CN"/>
              </w:rPr>
              <w:t>码</w:t>
            </w:r>
            <w:r>
              <w:rPr>
                <w:rFonts w:hint="eastAsia" w:ascii="宋体" w:hAnsi="宋体" w:eastAsia="宋体" w:cs="宋体"/>
                <w:color w:val="000000"/>
                <w:sz w:val="21"/>
                <w:szCs w:val="21"/>
                <w:lang w:eastAsia="zh-CN"/>
              </w:rPr>
              <w:t>和</w:t>
            </w:r>
            <w:r>
              <w:rPr>
                <w:rFonts w:hint="eastAsia" w:ascii="宋体" w:hAnsi="宋体" w:eastAsia="宋体" w:cs="宋体"/>
                <w:color w:val="000000"/>
                <w:spacing w:val="-2"/>
                <w:sz w:val="21"/>
                <w:szCs w:val="21"/>
                <w:lang w:eastAsia="zh-CN"/>
              </w:rPr>
              <w:t>交</w:t>
            </w:r>
            <w:r>
              <w:rPr>
                <w:rFonts w:hint="eastAsia" w:ascii="宋体" w:hAnsi="宋体" w:eastAsia="宋体" w:cs="宋体"/>
                <w:color w:val="000000"/>
                <w:sz w:val="21"/>
                <w:szCs w:val="21"/>
                <w:lang w:eastAsia="zh-CN"/>
              </w:rPr>
              <w:t>易</w:t>
            </w:r>
            <w:r>
              <w:rPr>
                <w:rFonts w:hint="eastAsia" w:ascii="宋体" w:hAnsi="宋体" w:eastAsia="宋体" w:cs="宋体"/>
                <w:color w:val="000000"/>
                <w:spacing w:val="-2"/>
                <w:sz w:val="21"/>
                <w:szCs w:val="21"/>
                <w:lang w:eastAsia="zh-CN"/>
              </w:rPr>
              <w:t>员</w:t>
            </w:r>
            <w:r>
              <w:rPr>
                <w:rFonts w:hint="eastAsia" w:ascii="宋体" w:hAnsi="宋体" w:eastAsia="宋体" w:cs="宋体"/>
                <w:color w:val="000000"/>
                <w:spacing w:val="-16"/>
                <w:sz w:val="21"/>
                <w:szCs w:val="21"/>
                <w:lang w:eastAsia="zh-CN"/>
              </w:rPr>
              <w:t>）</w:t>
            </w:r>
            <w:r>
              <w:rPr>
                <w:rFonts w:hint="eastAsia" w:ascii="宋体" w:hAnsi="宋体" w:eastAsia="宋体" w:cs="宋体"/>
                <w:color w:val="000000"/>
                <w:sz w:val="21"/>
                <w:szCs w:val="21"/>
                <w:lang w:eastAsia="zh-CN"/>
              </w:rPr>
              <w:t>的全</w:t>
            </w:r>
            <w:r>
              <w:rPr>
                <w:rFonts w:hint="eastAsia" w:ascii="宋体" w:hAnsi="宋体" w:eastAsia="宋体" w:cs="宋体"/>
                <w:color w:val="000000"/>
                <w:spacing w:val="-2"/>
                <w:sz w:val="21"/>
                <w:szCs w:val="21"/>
                <w:lang w:eastAsia="zh-CN"/>
              </w:rPr>
              <w:t>部</w:t>
            </w:r>
            <w:r>
              <w:rPr>
                <w:rFonts w:hint="eastAsia" w:ascii="宋体" w:hAnsi="宋体" w:eastAsia="宋体" w:cs="宋体"/>
                <w:color w:val="000000"/>
                <w:sz w:val="21"/>
                <w:szCs w:val="21"/>
                <w:lang w:eastAsia="zh-CN"/>
              </w:rPr>
              <w:t>卖方</w:t>
            </w:r>
            <w:r>
              <w:rPr>
                <w:rFonts w:hint="eastAsia" w:ascii="宋体" w:hAnsi="宋体" w:eastAsia="宋体" w:cs="宋体"/>
                <w:sz w:val="21"/>
                <w:szCs w:val="21"/>
                <w:lang w:eastAsia="zh-CN"/>
              </w:rPr>
              <w:t xml:space="preserve"> </w:t>
            </w:r>
          </w:p>
          <w:p w14:paraId="559278BA">
            <w:pPr>
              <w:spacing w:before="31"/>
              <w:rPr>
                <w:rFonts w:hint="eastAsia" w:ascii="宋体" w:hAnsi="宋体" w:eastAsia="宋体" w:cs="宋体"/>
                <w:color w:val="010302"/>
                <w:lang w:eastAsia="zh-CN"/>
              </w:rPr>
            </w:pPr>
            <w:r>
              <w:rPr>
                <w:rFonts w:hint="eastAsia" w:ascii="宋体" w:hAnsi="宋体" w:eastAsia="宋体" w:cs="宋体"/>
                <w:color w:val="000000"/>
                <w:sz w:val="21"/>
                <w:szCs w:val="21"/>
                <w:lang w:eastAsia="zh-CN"/>
              </w:rPr>
              <w:t>向的</w:t>
            </w:r>
            <w:r>
              <w:rPr>
                <w:rFonts w:hint="eastAsia" w:ascii="宋体" w:hAnsi="宋体" w:eastAsia="宋体" w:cs="宋体"/>
                <w:color w:val="000000"/>
                <w:spacing w:val="-2"/>
                <w:sz w:val="21"/>
                <w:szCs w:val="21"/>
                <w:lang w:eastAsia="zh-CN"/>
              </w:rPr>
              <w:t>可</w:t>
            </w:r>
            <w:r>
              <w:rPr>
                <w:rFonts w:hint="eastAsia" w:ascii="宋体" w:hAnsi="宋体" w:eastAsia="宋体" w:cs="宋体"/>
                <w:color w:val="000000"/>
                <w:sz w:val="21"/>
                <w:szCs w:val="21"/>
                <w:lang w:eastAsia="zh-CN"/>
              </w:rPr>
              <w:t>撤</w:t>
            </w:r>
            <w:r>
              <w:rPr>
                <w:rFonts w:hint="eastAsia" w:ascii="宋体" w:hAnsi="宋体" w:eastAsia="宋体" w:cs="宋体"/>
                <w:color w:val="000000"/>
                <w:spacing w:val="-2"/>
                <w:sz w:val="21"/>
                <w:szCs w:val="21"/>
                <w:lang w:eastAsia="zh-CN"/>
              </w:rPr>
              <w:t>订</w:t>
            </w:r>
            <w:r>
              <w:rPr>
                <w:rFonts w:hint="eastAsia" w:ascii="宋体" w:hAnsi="宋体" w:eastAsia="宋体" w:cs="宋体"/>
                <w:color w:val="000000"/>
                <w:sz w:val="21"/>
                <w:szCs w:val="21"/>
                <w:lang w:eastAsia="zh-CN"/>
              </w:rPr>
              <w:t>单</w:t>
            </w:r>
            <w:r>
              <w:rPr>
                <w:rFonts w:hint="eastAsia" w:ascii="宋体" w:hAnsi="宋体" w:eastAsia="宋体" w:cs="宋体"/>
                <w:color w:val="000000"/>
                <w:spacing w:val="-2"/>
                <w:sz w:val="21"/>
                <w:szCs w:val="21"/>
                <w:lang w:eastAsia="zh-CN"/>
              </w:rPr>
              <w:t>进</w:t>
            </w:r>
            <w:r>
              <w:rPr>
                <w:rFonts w:hint="eastAsia" w:ascii="宋体" w:hAnsi="宋体" w:eastAsia="宋体" w:cs="宋体"/>
                <w:color w:val="000000"/>
                <w:sz w:val="21"/>
                <w:szCs w:val="21"/>
                <w:lang w:eastAsia="zh-CN"/>
              </w:rPr>
              <w:t>行</w:t>
            </w:r>
            <w:r>
              <w:rPr>
                <w:rFonts w:hint="eastAsia" w:ascii="宋体" w:hAnsi="宋体" w:eastAsia="宋体" w:cs="宋体"/>
                <w:color w:val="000000"/>
                <w:spacing w:val="-2"/>
                <w:sz w:val="21"/>
                <w:szCs w:val="21"/>
                <w:lang w:eastAsia="zh-CN"/>
              </w:rPr>
              <w:t>撤</w:t>
            </w:r>
            <w:r>
              <w:rPr>
                <w:rFonts w:hint="eastAsia" w:ascii="宋体" w:hAnsi="宋体" w:eastAsia="宋体" w:cs="宋体"/>
                <w:color w:val="000000"/>
                <w:sz w:val="21"/>
                <w:szCs w:val="21"/>
                <w:lang w:eastAsia="zh-CN"/>
              </w:rPr>
              <w:t>单</w:t>
            </w:r>
            <w:r>
              <w:rPr>
                <w:rFonts w:hint="eastAsia" w:ascii="宋体" w:hAnsi="宋体" w:eastAsia="宋体" w:cs="宋体"/>
                <w:color w:val="000000"/>
                <w:spacing w:val="-2"/>
                <w:sz w:val="21"/>
                <w:szCs w:val="21"/>
                <w:lang w:eastAsia="zh-CN"/>
              </w:rPr>
              <w:t>（</w:t>
            </w:r>
            <w:r>
              <w:rPr>
                <w:rFonts w:hint="eastAsia" w:ascii="宋体" w:hAnsi="宋体" w:eastAsia="宋体" w:cs="宋体"/>
                <w:color w:val="000000"/>
                <w:sz w:val="21"/>
                <w:szCs w:val="21"/>
                <w:lang w:eastAsia="zh-CN"/>
              </w:rPr>
              <w:t>与订</w:t>
            </w:r>
            <w:r>
              <w:rPr>
                <w:rFonts w:hint="eastAsia" w:ascii="宋体" w:hAnsi="宋体" w:eastAsia="宋体" w:cs="宋体"/>
                <w:color w:val="000000"/>
                <w:spacing w:val="-2"/>
                <w:sz w:val="21"/>
                <w:szCs w:val="21"/>
                <w:lang w:eastAsia="zh-CN"/>
              </w:rPr>
              <w:t>单</w:t>
            </w:r>
            <w:r>
              <w:rPr>
                <w:rFonts w:hint="eastAsia" w:ascii="宋体" w:hAnsi="宋体" w:eastAsia="宋体" w:cs="宋体"/>
                <w:color w:val="000000"/>
                <w:sz w:val="21"/>
                <w:szCs w:val="21"/>
                <w:lang w:eastAsia="zh-CN"/>
              </w:rPr>
              <w:t>勾</w:t>
            </w:r>
            <w:r>
              <w:rPr>
                <w:rFonts w:hint="eastAsia" w:ascii="宋体" w:hAnsi="宋体" w:eastAsia="宋体" w:cs="宋体"/>
                <w:color w:val="000000"/>
                <w:spacing w:val="-2"/>
                <w:sz w:val="21"/>
                <w:szCs w:val="21"/>
                <w:lang w:eastAsia="zh-CN"/>
              </w:rPr>
              <w:t>选</w:t>
            </w:r>
            <w:r>
              <w:rPr>
                <w:rFonts w:hint="eastAsia" w:ascii="宋体" w:hAnsi="宋体" w:eastAsia="宋体" w:cs="宋体"/>
                <w:color w:val="000000"/>
                <w:sz w:val="21"/>
                <w:szCs w:val="21"/>
                <w:lang w:eastAsia="zh-CN"/>
              </w:rPr>
              <w:t>情</w:t>
            </w:r>
            <w:r>
              <w:rPr>
                <w:rFonts w:hint="eastAsia" w:ascii="宋体" w:hAnsi="宋体" w:eastAsia="宋体" w:cs="宋体"/>
                <w:color w:val="000000"/>
                <w:spacing w:val="-2"/>
                <w:sz w:val="21"/>
                <w:szCs w:val="21"/>
                <w:lang w:eastAsia="zh-CN"/>
              </w:rPr>
              <w:t>况</w:t>
            </w:r>
            <w:r>
              <w:rPr>
                <w:rFonts w:hint="eastAsia" w:ascii="宋体" w:hAnsi="宋体" w:eastAsia="宋体" w:cs="宋体"/>
                <w:color w:val="000000"/>
                <w:sz w:val="21"/>
                <w:szCs w:val="21"/>
                <w:lang w:eastAsia="zh-CN"/>
              </w:rPr>
              <w:t>无</w:t>
            </w:r>
            <w:r>
              <w:rPr>
                <w:rFonts w:hint="eastAsia" w:ascii="宋体" w:hAnsi="宋体" w:eastAsia="宋体" w:cs="宋体"/>
                <w:color w:val="000000"/>
                <w:spacing w:val="-2"/>
                <w:sz w:val="21"/>
                <w:szCs w:val="21"/>
                <w:lang w:eastAsia="zh-CN"/>
              </w:rPr>
              <w:t>关）</w:t>
            </w:r>
            <w:r>
              <w:rPr>
                <w:rFonts w:hint="eastAsia" w:ascii="宋体" w:hAnsi="宋体" w:eastAsia="宋体" w:cs="宋体"/>
                <w:color w:val="000000"/>
                <w:sz w:val="21"/>
                <w:szCs w:val="21"/>
                <w:lang w:eastAsia="zh-CN"/>
              </w:rPr>
              <w:t xml:space="preserve">  </w:t>
            </w:r>
          </w:p>
        </w:tc>
      </w:tr>
      <w:tr w14:paraId="4FC6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3" w:hRule="atLeast"/>
        </w:trPr>
        <w:tc>
          <w:tcPr>
            <w:tcW w:w="2388" w:type="dxa"/>
            <w:vAlign w:val="center"/>
          </w:tcPr>
          <w:p w14:paraId="1C269903">
            <w:pPr>
              <w:spacing w:before="17"/>
              <w:ind w:firstLine="112"/>
              <w:jc w:val="center"/>
              <w:rPr>
                <w:rFonts w:hint="eastAsia" w:ascii="宋体" w:hAnsi="宋体" w:eastAsia="宋体" w:cs="宋体"/>
                <w:color w:val="010302"/>
              </w:rPr>
            </w:pPr>
            <w:r>
              <w:rPr>
                <w:rFonts w:hint="eastAsia" w:ascii="宋体" w:hAnsi="宋体" w:eastAsia="宋体" w:cs="宋体"/>
                <w:color w:val="000000"/>
                <w:sz w:val="21"/>
                <w:szCs w:val="21"/>
              </w:rPr>
              <w:t>全</w:t>
            </w:r>
            <w:r>
              <w:rPr>
                <w:rFonts w:hint="eastAsia" w:ascii="宋体" w:hAnsi="宋体" w:eastAsia="宋体" w:cs="宋体"/>
                <w:color w:val="000000"/>
                <w:spacing w:val="-2"/>
                <w:sz w:val="21"/>
                <w:szCs w:val="21"/>
              </w:rPr>
              <w:t>撤</w:t>
            </w:r>
          </w:p>
        </w:tc>
        <w:tc>
          <w:tcPr>
            <w:tcW w:w="5842" w:type="dxa"/>
          </w:tcPr>
          <w:p w14:paraId="578671D9">
            <w:pPr>
              <w:spacing w:before="17"/>
              <w:rPr>
                <w:rFonts w:hint="eastAsia" w:ascii="宋体" w:hAnsi="宋体" w:eastAsia="宋体" w:cs="宋体"/>
                <w:color w:val="010302"/>
                <w:lang w:eastAsia="zh-CN"/>
              </w:rPr>
            </w:pPr>
            <w:r>
              <w:rPr>
                <w:rFonts w:hint="eastAsia" w:ascii="宋体" w:hAnsi="宋体" w:eastAsia="宋体" w:cs="宋体"/>
                <w:color w:val="000000"/>
                <w:sz w:val="21"/>
                <w:szCs w:val="21"/>
                <w:lang w:eastAsia="zh-CN"/>
              </w:rPr>
              <w:t>对符</w:t>
            </w:r>
            <w:r>
              <w:rPr>
                <w:rFonts w:hint="eastAsia" w:ascii="宋体" w:hAnsi="宋体" w:eastAsia="宋体" w:cs="宋体"/>
                <w:color w:val="000000"/>
                <w:spacing w:val="-2"/>
                <w:sz w:val="21"/>
                <w:szCs w:val="21"/>
                <w:lang w:eastAsia="zh-CN"/>
              </w:rPr>
              <w:t>合</w:t>
            </w:r>
            <w:r>
              <w:rPr>
                <w:rFonts w:hint="eastAsia" w:ascii="宋体" w:hAnsi="宋体" w:eastAsia="宋体" w:cs="宋体"/>
                <w:color w:val="000000"/>
                <w:sz w:val="21"/>
                <w:szCs w:val="21"/>
                <w:lang w:eastAsia="zh-CN"/>
              </w:rPr>
              <w:t>筛</w:t>
            </w:r>
            <w:r>
              <w:rPr>
                <w:rFonts w:hint="eastAsia" w:ascii="宋体" w:hAnsi="宋体" w:eastAsia="宋体" w:cs="宋体"/>
                <w:color w:val="000000"/>
                <w:spacing w:val="-2"/>
                <w:sz w:val="21"/>
                <w:szCs w:val="21"/>
                <w:lang w:eastAsia="zh-CN"/>
              </w:rPr>
              <w:t>选</w:t>
            </w:r>
            <w:r>
              <w:rPr>
                <w:rFonts w:hint="eastAsia" w:ascii="宋体" w:hAnsi="宋体" w:eastAsia="宋体" w:cs="宋体"/>
                <w:color w:val="000000"/>
                <w:sz w:val="21"/>
                <w:szCs w:val="21"/>
                <w:lang w:eastAsia="zh-CN"/>
              </w:rPr>
              <w:t>条</w:t>
            </w:r>
            <w:r>
              <w:rPr>
                <w:rFonts w:hint="eastAsia" w:ascii="宋体" w:hAnsi="宋体" w:eastAsia="宋体" w:cs="宋体"/>
                <w:color w:val="000000"/>
                <w:spacing w:val="-16"/>
                <w:sz w:val="21"/>
                <w:szCs w:val="21"/>
                <w:lang w:eastAsia="zh-CN"/>
              </w:rPr>
              <w:t>件</w:t>
            </w:r>
            <w:r>
              <w:rPr>
                <w:rFonts w:hint="eastAsia" w:ascii="宋体" w:hAnsi="宋体" w:eastAsia="宋体" w:cs="宋体"/>
                <w:color w:val="000000"/>
                <w:spacing w:val="-2"/>
                <w:sz w:val="21"/>
                <w:szCs w:val="21"/>
                <w:lang w:eastAsia="zh-CN"/>
              </w:rPr>
              <w:t>（</w:t>
            </w:r>
            <w:r>
              <w:rPr>
                <w:rFonts w:hint="eastAsia" w:ascii="宋体" w:hAnsi="宋体" w:eastAsia="宋体" w:cs="宋体"/>
                <w:color w:val="000000"/>
                <w:sz w:val="21"/>
                <w:szCs w:val="21"/>
                <w:lang w:eastAsia="zh-CN"/>
              </w:rPr>
              <w:t>资</w:t>
            </w:r>
            <w:r>
              <w:rPr>
                <w:rFonts w:hint="eastAsia" w:ascii="宋体" w:hAnsi="宋体" w:eastAsia="宋体" w:cs="宋体"/>
                <w:color w:val="000000"/>
                <w:spacing w:val="-2"/>
                <w:sz w:val="21"/>
                <w:szCs w:val="21"/>
                <w:lang w:eastAsia="zh-CN"/>
              </w:rPr>
              <w:t>产账</w:t>
            </w:r>
            <w:r>
              <w:rPr>
                <w:rFonts w:hint="eastAsia" w:ascii="宋体" w:hAnsi="宋体" w:eastAsia="宋体" w:cs="宋体"/>
                <w:color w:val="000000"/>
                <w:sz w:val="21"/>
                <w:szCs w:val="21"/>
                <w:lang w:eastAsia="zh-CN"/>
              </w:rPr>
              <w:t>号</w:t>
            </w:r>
            <w:r>
              <w:rPr>
                <w:rFonts w:hint="eastAsia" w:ascii="宋体" w:hAnsi="宋体" w:eastAsia="宋体" w:cs="宋体"/>
                <w:color w:val="000000"/>
                <w:spacing w:val="-16"/>
                <w:sz w:val="21"/>
                <w:szCs w:val="21"/>
                <w:lang w:eastAsia="zh-CN"/>
              </w:rPr>
              <w:t>、</w:t>
            </w:r>
            <w:r>
              <w:rPr>
                <w:rFonts w:hint="eastAsia" w:ascii="宋体" w:hAnsi="宋体" w:eastAsia="宋体" w:cs="宋体"/>
                <w:color w:val="000000"/>
                <w:sz w:val="21"/>
                <w:szCs w:val="21"/>
                <w:lang w:eastAsia="zh-CN"/>
              </w:rPr>
              <w:t>证</w:t>
            </w:r>
            <w:r>
              <w:rPr>
                <w:rFonts w:hint="eastAsia" w:ascii="宋体" w:hAnsi="宋体" w:eastAsia="宋体" w:cs="宋体"/>
                <w:color w:val="000000"/>
                <w:spacing w:val="-2"/>
                <w:sz w:val="21"/>
                <w:szCs w:val="21"/>
                <w:lang w:eastAsia="zh-CN"/>
              </w:rPr>
              <w:t>券</w:t>
            </w:r>
            <w:r>
              <w:rPr>
                <w:rFonts w:hint="eastAsia" w:ascii="宋体" w:hAnsi="宋体" w:eastAsia="宋体" w:cs="宋体"/>
                <w:color w:val="000000"/>
                <w:sz w:val="21"/>
                <w:szCs w:val="21"/>
                <w:lang w:eastAsia="zh-CN"/>
              </w:rPr>
              <w:t>代</w:t>
            </w:r>
            <w:r>
              <w:rPr>
                <w:rFonts w:hint="eastAsia" w:ascii="宋体" w:hAnsi="宋体" w:eastAsia="宋体" w:cs="宋体"/>
                <w:color w:val="000000"/>
                <w:spacing w:val="-2"/>
                <w:sz w:val="21"/>
                <w:szCs w:val="21"/>
                <w:lang w:eastAsia="zh-CN"/>
              </w:rPr>
              <w:t>码</w:t>
            </w:r>
            <w:r>
              <w:rPr>
                <w:rFonts w:hint="eastAsia" w:ascii="宋体" w:hAnsi="宋体" w:eastAsia="宋体" w:cs="宋体"/>
                <w:color w:val="000000"/>
                <w:sz w:val="21"/>
                <w:szCs w:val="21"/>
                <w:lang w:eastAsia="zh-CN"/>
              </w:rPr>
              <w:t>和</w:t>
            </w:r>
            <w:r>
              <w:rPr>
                <w:rFonts w:hint="eastAsia" w:ascii="宋体" w:hAnsi="宋体" w:eastAsia="宋体" w:cs="宋体"/>
                <w:color w:val="000000"/>
                <w:spacing w:val="-2"/>
                <w:sz w:val="21"/>
                <w:szCs w:val="21"/>
                <w:lang w:eastAsia="zh-CN"/>
              </w:rPr>
              <w:t>交</w:t>
            </w:r>
            <w:r>
              <w:rPr>
                <w:rFonts w:hint="eastAsia" w:ascii="宋体" w:hAnsi="宋体" w:eastAsia="宋体" w:cs="宋体"/>
                <w:color w:val="000000"/>
                <w:sz w:val="21"/>
                <w:szCs w:val="21"/>
                <w:lang w:eastAsia="zh-CN"/>
              </w:rPr>
              <w:t>易</w:t>
            </w:r>
            <w:r>
              <w:rPr>
                <w:rFonts w:hint="eastAsia" w:ascii="宋体" w:hAnsi="宋体" w:eastAsia="宋体" w:cs="宋体"/>
                <w:color w:val="000000"/>
                <w:spacing w:val="-2"/>
                <w:sz w:val="21"/>
                <w:szCs w:val="21"/>
                <w:lang w:eastAsia="zh-CN"/>
              </w:rPr>
              <w:t>员</w:t>
            </w:r>
            <w:r>
              <w:rPr>
                <w:rFonts w:hint="eastAsia" w:ascii="宋体" w:hAnsi="宋体" w:eastAsia="宋体" w:cs="宋体"/>
                <w:color w:val="000000"/>
                <w:spacing w:val="-16"/>
                <w:sz w:val="21"/>
                <w:szCs w:val="21"/>
                <w:lang w:eastAsia="zh-CN"/>
              </w:rPr>
              <w:t>）</w:t>
            </w:r>
            <w:r>
              <w:rPr>
                <w:rFonts w:hint="eastAsia" w:ascii="宋体" w:hAnsi="宋体" w:eastAsia="宋体" w:cs="宋体"/>
                <w:color w:val="000000"/>
                <w:sz w:val="21"/>
                <w:szCs w:val="21"/>
                <w:lang w:eastAsia="zh-CN"/>
              </w:rPr>
              <w:t>全部</w:t>
            </w:r>
            <w:r>
              <w:rPr>
                <w:rFonts w:hint="eastAsia" w:ascii="宋体" w:hAnsi="宋体" w:eastAsia="宋体" w:cs="宋体"/>
                <w:color w:val="000000"/>
                <w:spacing w:val="-2"/>
                <w:sz w:val="21"/>
                <w:szCs w:val="21"/>
                <w:lang w:eastAsia="zh-CN"/>
              </w:rPr>
              <w:t>可</w:t>
            </w:r>
            <w:r>
              <w:rPr>
                <w:rFonts w:hint="eastAsia" w:ascii="宋体" w:hAnsi="宋体" w:eastAsia="宋体" w:cs="宋体"/>
                <w:color w:val="000000"/>
                <w:sz w:val="21"/>
                <w:szCs w:val="21"/>
                <w:lang w:eastAsia="zh-CN"/>
              </w:rPr>
              <w:t>撤订</w:t>
            </w:r>
            <w:r>
              <w:rPr>
                <w:rFonts w:hint="eastAsia" w:ascii="宋体" w:hAnsi="宋体" w:eastAsia="宋体" w:cs="宋体"/>
                <w:sz w:val="21"/>
                <w:szCs w:val="21"/>
                <w:lang w:eastAsia="zh-CN"/>
              </w:rPr>
              <w:t xml:space="preserve"> </w:t>
            </w:r>
          </w:p>
          <w:p w14:paraId="4EC717E4">
            <w:pPr>
              <w:spacing w:before="31"/>
              <w:rPr>
                <w:rFonts w:hint="eastAsia" w:ascii="宋体" w:hAnsi="宋体" w:eastAsia="宋体" w:cs="宋体"/>
                <w:color w:val="010302"/>
                <w:lang w:eastAsia="zh-CN"/>
              </w:rPr>
            </w:pPr>
            <w:r>
              <w:rPr>
                <w:rFonts w:hint="eastAsia" w:ascii="宋体" w:hAnsi="宋体" w:eastAsia="宋体" w:cs="宋体"/>
                <w:color w:val="000000"/>
                <w:sz w:val="21"/>
                <w:szCs w:val="21"/>
                <w:lang w:eastAsia="zh-CN"/>
              </w:rPr>
              <w:t>单进</w:t>
            </w:r>
            <w:r>
              <w:rPr>
                <w:rFonts w:hint="eastAsia" w:ascii="宋体" w:hAnsi="宋体" w:eastAsia="宋体" w:cs="宋体"/>
                <w:color w:val="000000"/>
                <w:spacing w:val="-2"/>
                <w:sz w:val="21"/>
                <w:szCs w:val="21"/>
                <w:lang w:eastAsia="zh-CN"/>
              </w:rPr>
              <w:t>行</w:t>
            </w:r>
            <w:r>
              <w:rPr>
                <w:rFonts w:hint="eastAsia" w:ascii="宋体" w:hAnsi="宋体" w:eastAsia="宋体" w:cs="宋体"/>
                <w:color w:val="000000"/>
                <w:sz w:val="21"/>
                <w:szCs w:val="21"/>
                <w:lang w:eastAsia="zh-CN"/>
              </w:rPr>
              <w:t>撤</w:t>
            </w:r>
            <w:r>
              <w:rPr>
                <w:rFonts w:hint="eastAsia" w:ascii="宋体" w:hAnsi="宋体" w:eastAsia="宋体" w:cs="宋体"/>
                <w:color w:val="000000"/>
                <w:spacing w:val="-2"/>
                <w:sz w:val="21"/>
                <w:szCs w:val="21"/>
                <w:lang w:eastAsia="zh-CN"/>
              </w:rPr>
              <w:t>单</w:t>
            </w:r>
            <w:r>
              <w:rPr>
                <w:rFonts w:hint="eastAsia" w:ascii="宋体" w:hAnsi="宋体" w:eastAsia="宋体" w:cs="宋体"/>
                <w:color w:val="000000"/>
                <w:sz w:val="21"/>
                <w:szCs w:val="21"/>
                <w:lang w:eastAsia="zh-CN"/>
              </w:rPr>
              <w:t>（</w:t>
            </w:r>
            <w:r>
              <w:rPr>
                <w:rFonts w:hint="eastAsia" w:ascii="宋体" w:hAnsi="宋体" w:eastAsia="宋体" w:cs="宋体"/>
                <w:color w:val="000000"/>
                <w:spacing w:val="-2"/>
                <w:sz w:val="21"/>
                <w:szCs w:val="21"/>
                <w:lang w:eastAsia="zh-CN"/>
              </w:rPr>
              <w:t>与</w:t>
            </w:r>
            <w:r>
              <w:rPr>
                <w:rFonts w:hint="eastAsia" w:ascii="宋体" w:hAnsi="宋体" w:eastAsia="宋体" w:cs="宋体"/>
                <w:color w:val="000000"/>
                <w:sz w:val="21"/>
                <w:szCs w:val="21"/>
                <w:lang w:eastAsia="zh-CN"/>
              </w:rPr>
              <w:t>订</w:t>
            </w:r>
            <w:r>
              <w:rPr>
                <w:rFonts w:hint="eastAsia" w:ascii="宋体" w:hAnsi="宋体" w:eastAsia="宋体" w:cs="宋体"/>
                <w:color w:val="000000"/>
                <w:spacing w:val="-2"/>
                <w:sz w:val="21"/>
                <w:szCs w:val="21"/>
                <w:lang w:eastAsia="zh-CN"/>
              </w:rPr>
              <w:t>单</w:t>
            </w:r>
            <w:r>
              <w:rPr>
                <w:rFonts w:hint="eastAsia" w:ascii="宋体" w:hAnsi="宋体" w:eastAsia="宋体" w:cs="宋体"/>
                <w:color w:val="000000"/>
                <w:sz w:val="21"/>
                <w:szCs w:val="21"/>
                <w:lang w:eastAsia="zh-CN"/>
              </w:rPr>
              <w:t>勾</w:t>
            </w:r>
            <w:r>
              <w:rPr>
                <w:rFonts w:hint="eastAsia" w:ascii="宋体" w:hAnsi="宋体" w:eastAsia="宋体" w:cs="宋体"/>
                <w:color w:val="000000"/>
                <w:spacing w:val="-2"/>
                <w:sz w:val="21"/>
                <w:szCs w:val="21"/>
                <w:lang w:eastAsia="zh-CN"/>
              </w:rPr>
              <w:t>选</w:t>
            </w:r>
            <w:r>
              <w:rPr>
                <w:rFonts w:hint="eastAsia" w:ascii="宋体" w:hAnsi="宋体" w:eastAsia="宋体" w:cs="宋体"/>
                <w:color w:val="000000"/>
                <w:sz w:val="21"/>
                <w:szCs w:val="21"/>
                <w:lang w:eastAsia="zh-CN"/>
              </w:rPr>
              <w:t>情况</w:t>
            </w:r>
            <w:r>
              <w:rPr>
                <w:rFonts w:hint="eastAsia" w:ascii="宋体" w:hAnsi="宋体" w:eastAsia="宋体" w:cs="宋体"/>
                <w:color w:val="000000"/>
                <w:spacing w:val="-2"/>
                <w:sz w:val="21"/>
                <w:szCs w:val="21"/>
                <w:lang w:eastAsia="zh-CN"/>
              </w:rPr>
              <w:t>无</w:t>
            </w:r>
            <w:r>
              <w:rPr>
                <w:rFonts w:hint="eastAsia" w:ascii="宋体" w:hAnsi="宋体" w:eastAsia="宋体" w:cs="宋体"/>
                <w:color w:val="000000"/>
                <w:sz w:val="21"/>
                <w:szCs w:val="21"/>
                <w:lang w:eastAsia="zh-CN"/>
              </w:rPr>
              <w:t>关</w:t>
            </w:r>
            <w:r>
              <w:rPr>
                <w:rFonts w:hint="eastAsia" w:ascii="宋体" w:hAnsi="宋体" w:eastAsia="宋体" w:cs="宋体"/>
                <w:color w:val="000000"/>
                <w:spacing w:val="-2"/>
                <w:sz w:val="21"/>
                <w:szCs w:val="21"/>
                <w:lang w:eastAsia="zh-CN"/>
              </w:rPr>
              <w:t>）</w:t>
            </w:r>
            <w:r>
              <w:rPr>
                <w:rFonts w:hint="eastAsia" w:ascii="宋体" w:hAnsi="宋体" w:eastAsia="宋体" w:cs="宋体"/>
                <w:color w:val="000000"/>
                <w:sz w:val="21"/>
                <w:szCs w:val="21"/>
                <w:lang w:eastAsia="zh-CN"/>
              </w:rPr>
              <w:t xml:space="preserve">  </w:t>
            </w:r>
          </w:p>
        </w:tc>
      </w:tr>
      <w:tr w14:paraId="0016B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8" w:hRule="atLeast"/>
        </w:trPr>
        <w:tc>
          <w:tcPr>
            <w:tcW w:w="2388" w:type="dxa"/>
            <w:vAlign w:val="center"/>
          </w:tcPr>
          <w:p w14:paraId="64D45CD3">
            <w:pPr>
              <w:spacing w:before="16"/>
              <w:ind w:firstLine="112"/>
              <w:jc w:val="center"/>
              <w:rPr>
                <w:rFonts w:hint="eastAsia" w:ascii="宋体" w:hAnsi="宋体" w:eastAsia="宋体" w:cs="宋体"/>
                <w:color w:val="010302"/>
              </w:rPr>
            </w:pPr>
            <w:r>
              <w:rPr>
                <w:rFonts w:hint="eastAsia" w:ascii="宋体" w:hAnsi="宋体" w:eastAsia="宋体" w:cs="宋体"/>
                <w:color w:val="000000"/>
                <w:sz w:val="21"/>
                <w:szCs w:val="21"/>
              </w:rPr>
              <w:t>撤</w:t>
            </w:r>
            <w:r>
              <w:rPr>
                <w:rFonts w:hint="eastAsia" w:ascii="宋体" w:hAnsi="宋体" w:eastAsia="宋体" w:cs="宋体"/>
                <w:color w:val="000000"/>
                <w:spacing w:val="-2"/>
                <w:sz w:val="21"/>
                <w:szCs w:val="21"/>
              </w:rPr>
              <w:t>补</w:t>
            </w:r>
          </w:p>
        </w:tc>
        <w:tc>
          <w:tcPr>
            <w:tcW w:w="5842" w:type="dxa"/>
          </w:tcPr>
          <w:p w14:paraId="384E258C">
            <w:pPr>
              <w:spacing w:before="16"/>
              <w:rPr>
                <w:rFonts w:hint="eastAsia" w:ascii="宋体" w:hAnsi="宋体" w:eastAsia="宋体" w:cs="宋体"/>
                <w:color w:val="010302"/>
                <w:lang w:eastAsia="zh-CN"/>
              </w:rPr>
            </w:pPr>
            <w:r>
              <w:rPr>
                <w:rFonts w:hint="eastAsia" w:ascii="宋体" w:hAnsi="宋体" w:eastAsia="宋体" w:cs="宋体"/>
                <w:color w:val="000000"/>
                <w:sz w:val="21"/>
                <w:szCs w:val="21"/>
                <w:lang w:eastAsia="zh-CN"/>
              </w:rPr>
              <w:t>必须</w:t>
            </w:r>
            <w:r>
              <w:rPr>
                <w:rFonts w:hint="eastAsia" w:ascii="宋体" w:hAnsi="宋体" w:eastAsia="宋体" w:cs="宋体"/>
                <w:color w:val="000000"/>
                <w:spacing w:val="-2"/>
                <w:sz w:val="21"/>
                <w:szCs w:val="21"/>
                <w:lang w:eastAsia="zh-CN"/>
              </w:rPr>
              <w:t>勾</w:t>
            </w:r>
            <w:r>
              <w:rPr>
                <w:rFonts w:hint="eastAsia" w:ascii="宋体" w:hAnsi="宋体" w:eastAsia="宋体" w:cs="宋体"/>
                <w:color w:val="000000"/>
                <w:sz w:val="21"/>
                <w:szCs w:val="21"/>
                <w:lang w:eastAsia="zh-CN"/>
              </w:rPr>
              <w:t>选</w:t>
            </w:r>
            <w:r>
              <w:rPr>
                <w:rFonts w:hint="eastAsia" w:ascii="宋体" w:hAnsi="宋体" w:eastAsia="宋体" w:cs="宋体"/>
                <w:color w:val="000000"/>
                <w:spacing w:val="-2"/>
                <w:sz w:val="21"/>
                <w:szCs w:val="21"/>
                <w:lang w:eastAsia="zh-CN"/>
              </w:rPr>
              <w:t>委</w:t>
            </w:r>
            <w:r>
              <w:rPr>
                <w:rFonts w:hint="eastAsia" w:ascii="宋体" w:hAnsi="宋体" w:eastAsia="宋体" w:cs="宋体"/>
                <w:color w:val="000000"/>
                <w:sz w:val="21"/>
                <w:szCs w:val="21"/>
                <w:lang w:eastAsia="zh-CN"/>
              </w:rPr>
              <w:t>托</w:t>
            </w:r>
            <w:r>
              <w:rPr>
                <w:rFonts w:hint="eastAsia" w:ascii="宋体" w:hAnsi="宋体" w:eastAsia="宋体" w:cs="宋体"/>
                <w:color w:val="000000"/>
                <w:spacing w:val="-2"/>
                <w:sz w:val="21"/>
                <w:szCs w:val="21"/>
                <w:lang w:eastAsia="zh-CN"/>
              </w:rPr>
              <w:t>订</w:t>
            </w:r>
            <w:r>
              <w:rPr>
                <w:rFonts w:hint="eastAsia" w:ascii="宋体" w:hAnsi="宋体" w:eastAsia="宋体" w:cs="宋体"/>
                <w:color w:val="000000"/>
                <w:sz w:val="21"/>
                <w:szCs w:val="21"/>
                <w:lang w:eastAsia="zh-CN"/>
              </w:rPr>
              <w:t>单</w:t>
            </w:r>
            <w:r>
              <w:rPr>
                <w:rFonts w:hint="eastAsia" w:ascii="宋体" w:hAnsi="宋体" w:eastAsia="宋体" w:cs="宋体"/>
                <w:color w:val="000000"/>
                <w:spacing w:val="-2"/>
                <w:sz w:val="21"/>
                <w:szCs w:val="21"/>
                <w:lang w:eastAsia="zh-CN"/>
              </w:rPr>
              <w:t>后</w:t>
            </w:r>
            <w:r>
              <w:rPr>
                <w:rFonts w:hint="eastAsia" w:ascii="宋体" w:hAnsi="宋体" w:eastAsia="宋体" w:cs="宋体"/>
                <w:color w:val="000000"/>
                <w:sz w:val="21"/>
                <w:szCs w:val="21"/>
                <w:lang w:eastAsia="zh-CN"/>
              </w:rPr>
              <w:t>才</w:t>
            </w:r>
            <w:r>
              <w:rPr>
                <w:rFonts w:hint="eastAsia" w:ascii="宋体" w:hAnsi="宋体" w:eastAsia="宋体" w:cs="宋体"/>
                <w:color w:val="000000"/>
                <w:spacing w:val="-2"/>
                <w:sz w:val="21"/>
                <w:szCs w:val="21"/>
                <w:lang w:eastAsia="zh-CN"/>
              </w:rPr>
              <w:t>能</w:t>
            </w:r>
            <w:r>
              <w:rPr>
                <w:rFonts w:hint="eastAsia" w:ascii="宋体" w:hAnsi="宋体" w:eastAsia="宋体" w:cs="宋体"/>
                <w:color w:val="000000"/>
                <w:sz w:val="21"/>
                <w:szCs w:val="21"/>
                <w:lang w:eastAsia="zh-CN"/>
              </w:rPr>
              <w:t>进行</w:t>
            </w:r>
            <w:r>
              <w:rPr>
                <w:rFonts w:hint="eastAsia" w:ascii="宋体" w:hAnsi="宋体" w:eastAsia="宋体" w:cs="宋体"/>
                <w:color w:val="000000"/>
                <w:spacing w:val="-2"/>
                <w:sz w:val="21"/>
                <w:szCs w:val="21"/>
                <w:lang w:eastAsia="zh-CN"/>
              </w:rPr>
              <w:t>此</w:t>
            </w:r>
            <w:r>
              <w:rPr>
                <w:rFonts w:hint="eastAsia" w:ascii="宋体" w:hAnsi="宋体" w:eastAsia="宋体" w:cs="宋体"/>
                <w:color w:val="000000"/>
                <w:sz w:val="21"/>
                <w:szCs w:val="21"/>
                <w:lang w:eastAsia="zh-CN"/>
              </w:rPr>
              <w:t>操</w:t>
            </w:r>
            <w:r>
              <w:rPr>
                <w:rFonts w:hint="eastAsia" w:ascii="宋体" w:hAnsi="宋体" w:eastAsia="宋体" w:cs="宋体"/>
                <w:color w:val="000000"/>
                <w:spacing w:val="-2"/>
                <w:sz w:val="21"/>
                <w:szCs w:val="21"/>
                <w:lang w:eastAsia="zh-CN"/>
              </w:rPr>
              <w:t>作</w:t>
            </w:r>
            <w:r>
              <w:rPr>
                <w:rFonts w:hint="eastAsia" w:ascii="宋体" w:hAnsi="宋体" w:eastAsia="宋体" w:cs="宋体"/>
                <w:color w:val="000000"/>
                <w:spacing w:val="-45"/>
                <w:sz w:val="21"/>
                <w:szCs w:val="21"/>
                <w:lang w:eastAsia="zh-CN"/>
              </w:rPr>
              <w:t>，</w:t>
            </w:r>
            <w:r>
              <w:rPr>
                <w:rFonts w:hint="eastAsia" w:ascii="宋体" w:hAnsi="宋体" w:eastAsia="宋体" w:cs="宋体"/>
                <w:color w:val="000000"/>
                <w:spacing w:val="-2"/>
                <w:sz w:val="21"/>
                <w:szCs w:val="21"/>
                <w:lang w:eastAsia="zh-CN"/>
              </w:rPr>
              <w:t>对</w:t>
            </w:r>
            <w:r>
              <w:rPr>
                <w:rFonts w:hint="eastAsia" w:ascii="宋体" w:hAnsi="宋体" w:eastAsia="宋体" w:cs="宋体"/>
                <w:color w:val="000000"/>
                <w:sz w:val="21"/>
                <w:szCs w:val="21"/>
                <w:lang w:eastAsia="zh-CN"/>
              </w:rPr>
              <w:t>勾</w:t>
            </w:r>
            <w:r>
              <w:rPr>
                <w:rFonts w:hint="eastAsia" w:ascii="宋体" w:hAnsi="宋体" w:eastAsia="宋体" w:cs="宋体"/>
                <w:color w:val="000000"/>
                <w:spacing w:val="-2"/>
                <w:sz w:val="21"/>
                <w:szCs w:val="21"/>
                <w:lang w:eastAsia="zh-CN"/>
              </w:rPr>
              <w:t>选</w:t>
            </w:r>
            <w:r>
              <w:rPr>
                <w:rFonts w:hint="eastAsia" w:ascii="宋体" w:hAnsi="宋体" w:eastAsia="宋体" w:cs="宋体"/>
                <w:color w:val="000000"/>
                <w:sz w:val="21"/>
                <w:szCs w:val="21"/>
                <w:lang w:eastAsia="zh-CN"/>
              </w:rPr>
              <w:t>的</w:t>
            </w:r>
            <w:r>
              <w:rPr>
                <w:rFonts w:hint="eastAsia" w:ascii="宋体" w:hAnsi="宋体" w:eastAsia="宋体" w:cs="宋体"/>
                <w:color w:val="000000"/>
                <w:spacing w:val="-2"/>
                <w:sz w:val="21"/>
                <w:szCs w:val="21"/>
                <w:lang w:eastAsia="zh-CN"/>
              </w:rPr>
              <w:t>可</w:t>
            </w:r>
            <w:r>
              <w:rPr>
                <w:rFonts w:hint="eastAsia" w:ascii="宋体" w:hAnsi="宋体" w:eastAsia="宋体" w:cs="宋体"/>
                <w:color w:val="000000"/>
                <w:sz w:val="21"/>
                <w:szCs w:val="21"/>
                <w:lang w:eastAsia="zh-CN"/>
              </w:rPr>
              <w:t>撤订</w:t>
            </w:r>
            <w:r>
              <w:rPr>
                <w:rFonts w:hint="eastAsia" w:ascii="宋体" w:hAnsi="宋体" w:eastAsia="宋体" w:cs="宋体"/>
                <w:color w:val="000000"/>
                <w:spacing w:val="-2"/>
                <w:sz w:val="21"/>
                <w:szCs w:val="21"/>
                <w:lang w:eastAsia="zh-CN"/>
              </w:rPr>
              <w:t>单</w:t>
            </w:r>
            <w:r>
              <w:rPr>
                <w:rFonts w:hint="eastAsia" w:ascii="宋体" w:hAnsi="宋体" w:eastAsia="宋体" w:cs="宋体"/>
                <w:color w:val="000000"/>
                <w:sz w:val="21"/>
                <w:szCs w:val="21"/>
                <w:lang w:eastAsia="zh-CN"/>
              </w:rPr>
              <w:t>部分（已</w:t>
            </w:r>
            <w:r>
              <w:rPr>
                <w:rFonts w:hint="eastAsia" w:ascii="宋体" w:hAnsi="宋体" w:eastAsia="宋体" w:cs="宋体"/>
                <w:color w:val="000000"/>
                <w:spacing w:val="-2"/>
                <w:sz w:val="21"/>
                <w:szCs w:val="21"/>
                <w:lang w:eastAsia="zh-CN"/>
              </w:rPr>
              <w:t>报</w:t>
            </w:r>
            <w:r>
              <w:rPr>
                <w:rFonts w:hint="eastAsia" w:ascii="宋体" w:hAnsi="宋体" w:eastAsia="宋体" w:cs="宋体"/>
                <w:color w:val="000000"/>
                <w:spacing w:val="-9"/>
                <w:sz w:val="21"/>
                <w:szCs w:val="21"/>
                <w:lang w:eastAsia="zh-CN"/>
              </w:rPr>
              <w:t>、</w:t>
            </w:r>
            <w:r>
              <w:rPr>
                <w:rFonts w:hint="eastAsia" w:ascii="宋体" w:hAnsi="宋体" w:eastAsia="宋体" w:cs="宋体"/>
                <w:color w:val="000000"/>
                <w:spacing w:val="-2"/>
                <w:sz w:val="21"/>
                <w:szCs w:val="21"/>
                <w:lang w:eastAsia="zh-CN"/>
              </w:rPr>
              <w:t>部</w:t>
            </w:r>
            <w:r>
              <w:rPr>
                <w:rFonts w:hint="eastAsia" w:ascii="宋体" w:hAnsi="宋体" w:eastAsia="宋体" w:cs="宋体"/>
                <w:color w:val="000000"/>
                <w:sz w:val="21"/>
                <w:szCs w:val="21"/>
                <w:lang w:eastAsia="zh-CN"/>
              </w:rPr>
              <w:t>成</w:t>
            </w:r>
            <w:r>
              <w:rPr>
                <w:rFonts w:hint="eastAsia" w:ascii="宋体" w:hAnsi="宋体" w:eastAsia="宋体" w:cs="宋体"/>
                <w:color w:val="000000"/>
                <w:spacing w:val="-9"/>
                <w:sz w:val="21"/>
                <w:szCs w:val="21"/>
                <w:lang w:eastAsia="zh-CN"/>
              </w:rPr>
              <w:t>）</w:t>
            </w:r>
            <w:r>
              <w:rPr>
                <w:rFonts w:hint="eastAsia" w:ascii="宋体" w:hAnsi="宋体" w:eastAsia="宋体" w:cs="宋体"/>
                <w:color w:val="000000"/>
                <w:spacing w:val="-12"/>
                <w:sz w:val="21"/>
                <w:szCs w:val="21"/>
                <w:lang w:eastAsia="zh-CN"/>
              </w:rPr>
              <w:t>，</w:t>
            </w:r>
            <w:r>
              <w:rPr>
                <w:rFonts w:hint="eastAsia" w:ascii="宋体" w:hAnsi="宋体" w:eastAsia="宋体" w:cs="宋体"/>
                <w:color w:val="000000"/>
                <w:sz w:val="21"/>
                <w:szCs w:val="21"/>
                <w:lang w:eastAsia="zh-CN"/>
              </w:rPr>
              <w:t>则</w:t>
            </w:r>
            <w:r>
              <w:rPr>
                <w:rFonts w:hint="eastAsia" w:ascii="宋体" w:hAnsi="宋体" w:eastAsia="宋体" w:cs="宋体"/>
                <w:color w:val="000000"/>
                <w:spacing w:val="-2"/>
                <w:sz w:val="21"/>
                <w:szCs w:val="21"/>
                <w:lang w:eastAsia="zh-CN"/>
              </w:rPr>
              <w:t>先撤</w:t>
            </w:r>
            <w:r>
              <w:rPr>
                <w:rFonts w:hint="eastAsia" w:ascii="宋体" w:hAnsi="宋体" w:eastAsia="宋体" w:cs="宋体"/>
                <w:color w:val="000000"/>
                <w:sz w:val="21"/>
                <w:szCs w:val="21"/>
                <w:lang w:eastAsia="zh-CN"/>
              </w:rPr>
              <w:t>单成</w:t>
            </w:r>
            <w:r>
              <w:rPr>
                <w:rFonts w:hint="eastAsia" w:ascii="宋体" w:hAnsi="宋体" w:eastAsia="宋体" w:cs="宋体"/>
                <w:color w:val="000000"/>
                <w:spacing w:val="-2"/>
                <w:sz w:val="21"/>
                <w:szCs w:val="21"/>
                <w:lang w:eastAsia="zh-CN"/>
              </w:rPr>
              <w:t>功</w:t>
            </w:r>
            <w:r>
              <w:rPr>
                <w:rFonts w:hint="eastAsia" w:ascii="宋体" w:hAnsi="宋体" w:eastAsia="宋体" w:cs="宋体"/>
                <w:color w:val="000000"/>
                <w:sz w:val="21"/>
                <w:szCs w:val="21"/>
                <w:lang w:eastAsia="zh-CN"/>
              </w:rPr>
              <w:t>后</w:t>
            </w:r>
            <w:r>
              <w:rPr>
                <w:rFonts w:hint="eastAsia" w:ascii="宋体" w:hAnsi="宋体" w:eastAsia="宋体" w:cs="宋体"/>
                <w:color w:val="000000"/>
                <w:spacing w:val="-12"/>
                <w:sz w:val="21"/>
                <w:szCs w:val="21"/>
                <w:lang w:eastAsia="zh-CN"/>
              </w:rPr>
              <w:t>，</w:t>
            </w:r>
            <w:r>
              <w:rPr>
                <w:rFonts w:hint="eastAsia" w:ascii="宋体" w:hAnsi="宋体" w:eastAsia="宋体" w:cs="宋体"/>
                <w:color w:val="000000"/>
                <w:sz w:val="21"/>
                <w:szCs w:val="21"/>
                <w:lang w:eastAsia="zh-CN"/>
              </w:rPr>
              <w:t>再</w:t>
            </w:r>
            <w:r>
              <w:rPr>
                <w:rFonts w:hint="eastAsia" w:ascii="宋体" w:hAnsi="宋体" w:eastAsia="宋体" w:cs="宋体"/>
                <w:color w:val="000000"/>
                <w:spacing w:val="-2"/>
                <w:sz w:val="21"/>
                <w:szCs w:val="21"/>
                <w:lang w:eastAsia="zh-CN"/>
              </w:rPr>
              <w:t>按</w:t>
            </w:r>
            <w:r>
              <w:rPr>
                <w:rFonts w:hint="eastAsia" w:ascii="宋体" w:hAnsi="宋体" w:eastAsia="宋体" w:cs="宋体"/>
                <w:color w:val="000000"/>
                <w:sz w:val="21"/>
                <w:szCs w:val="21"/>
                <w:lang w:eastAsia="zh-CN"/>
              </w:rPr>
              <w:t>照</w:t>
            </w:r>
            <w:r>
              <w:rPr>
                <w:rFonts w:hint="eastAsia" w:ascii="宋体" w:hAnsi="宋体" w:eastAsia="宋体" w:cs="宋体"/>
                <w:color w:val="000000"/>
                <w:spacing w:val="-2"/>
                <w:sz w:val="21"/>
                <w:szCs w:val="21"/>
                <w:lang w:eastAsia="zh-CN"/>
              </w:rPr>
              <w:t>撤</w:t>
            </w:r>
            <w:r>
              <w:rPr>
                <w:rFonts w:hint="eastAsia" w:ascii="宋体" w:hAnsi="宋体" w:eastAsia="宋体" w:cs="宋体"/>
                <w:color w:val="000000"/>
                <w:sz w:val="21"/>
                <w:szCs w:val="21"/>
                <w:lang w:eastAsia="zh-CN"/>
              </w:rPr>
              <w:t>补</w:t>
            </w:r>
            <w:r>
              <w:rPr>
                <w:rFonts w:hint="eastAsia" w:ascii="宋体" w:hAnsi="宋体" w:eastAsia="宋体" w:cs="宋体"/>
                <w:color w:val="000000"/>
                <w:spacing w:val="-2"/>
                <w:sz w:val="21"/>
                <w:szCs w:val="21"/>
                <w:lang w:eastAsia="zh-CN"/>
              </w:rPr>
              <w:t>价</w:t>
            </w:r>
            <w:r>
              <w:rPr>
                <w:rFonts w:hint="eastAsia" w:ascii="宋体" w:hAnsi="宋体" w:eastAsia="宋体" w:cs="宋体"/>
                <w:color w:val="000000"/>
                <w:sz w:val="21"/>
                <w:szCs w:val="21"/>
                <w:lang w:eastAsia="zh-CN"/>
              </w:rPr>
              <w:t>补单</w:t>
            </w:r>
            <w:r>
              <w:rPr>
                <w:rFonts w:hint="eastAsia" w:ascii="宋体" w:hAnsi="宋体" w:eastAsia="宋体" w:cs="宋体"/>
                <w:color w:val="000000"/>
                <w:spacing w:val="-12"/>
                <w:sz w:val="21"/>
                <w:szCs w:val="21"/>
                <w:lang w:eastAsia="zh-CN"/>
              </w:rPr>
              <w:t>；</w:t>
            </w:r>
            <w:r>
              <w:rPr>
                <w:rFonts w:hint="eastAsia" w:ascii="宋体" w:hAnsi="宋体" w:eastAsia="宋体" w:cs="宋体"/>
                <w:color w:val="000000"/>
                <w:sz w:val="21"/>
                <w:szCs w:val="21"/>
                <w:lang w:eastAsia="zh-CN"/>
              </w:rPr>
              <w:t>对勾选的</w:t>
            </w:r>
            <w:r>
              <w:rPr>
                <w:rFonts w:hint="eastAsia" w:ascii="宋体" w:hAnsi="宋体" w:eastAsia="宋体" w:cs="宋体"/>
                <w:color w:val="000000"/>
                <w:spacing w:val="-2"/>
                <w:sz w:val="21"/>
                <w:szCs w:val="21"/>
                <w:lang w:eastAsia="zh-CN"/>
              </w:rPr>
              <w:t>非</w:t>
            </w:r>
            <w:r>
              <w:rPr>
                <w:rFonts w:hint="eastAsia" w:ascii="宋体" w:hAnsi="宋体" w:eastAsia="宋体" w:cs="宋体"/>
                <w:color w:val="000000"/>
                <w:sz w:val="21"/>
                <w:szCs w:val="21"/>
                <w:lang w:eastAsia="zh-CN"/>
              </w:rPr>
              <w:t>可</w:t>
            </w:r>
            <w:r>
              <w:rPr>
                <w:rFonts w:hint="eastAsia" w:ascii="宋体" w:hAnsi="宋体" w:eastAsia="宋体" w:cs="宋体"/>
                <w:color w:val="000000"/>
                <w:spacing w:val="-2"/>
                <w:sz w:val="21"/>
                <w:szCs w:val="21"/>
                <w:lang w:eastAsia="zh-CN"/>
              </w:rPr>
              <w:t>撤</w:t>
            </w:r>
            <w:r>
              <w:rPr>
                <w:rFonts w:hint="eastAsia" w:ascii="宋体" w:hAnsi="宋体" w:eastAsia="宋体" w:cs="宋体"/>
                <w:color w:val="000000"/>
                <w:sz w:val="21"/>
                <w:szCs w:val="21"/>
                <w:lang w:eastAsia="zh-CN"/>
              </w:rPr>
              <w:t>订</w:t>
            </w:r>
            <w:r>
              <w:rPr>
                <w:rFonts w:hint="eastAsia" w:ascii="宋体" w:hAnsi="宋体" w:eastAsia="宋体" w:cs="宋体"/>
                <w:color w:val="000000"/>
                <w:spacing w:val="-2"/>
                <w:sz w:val="21"/>
                <w:szCs w:val="21"/>
                <w:lang w:eastAsia="zh-CN"/>
              </w:rPr>
              <w:t>单</w:t>
            </w:r>
            <w:r>
              <w:rPr>
                <w:rFonts w:hint="eastAsia" w:ascii="宋体" w:hAnsi="宋体" w:eastAsia="宋体" w:cs="宋体"/>
                <w:color w:val="000000"/>
                <w:sz w:val="21"/>
                <w:szCs w:val="21"/>
                <w:lang w:eastAsia="zh-CN"/>
              </w:rPr>
              <w:t>部</w:t>
            </w:r>
            <w:r>
              <w:rPr>
                <w:rFonts w:hint="eastAsia" w:ascii="宋体" w:hAnsi="宋体" w:eastAsia="宋体" w:cs="宋体"/>
                <w:color w:val="000000"/>
                <w:spacing w:val="-12"/>
                <w:sz w:val="21"/>
                <w:szCs w:val="21"/>
                <w:lang w:eastAsia="zh-CN"/>
              </w:rPr>
              <w:t>分</w:t>
            </w:r>
            <w:r>
              <w:rPr>
                <w:rFonts w:hint="eastAsia" w:ascii="宋体" w:hAnsi="宋体" w:eastAsia="宋体" w:cs="宋体"/>
                <w:color w:val="000000"/>
                <w:sz w:val="21"/>
                <w:szCs w:val="21"/>
                <w:lang w:eastAsia="zh-CN"/>
              </w:rPr>
              <w:t>（</w:t>
            </w:r>
            <w:r>
              <w:rPr>
                <w:rFonts w:hint="eastAsia" w:ascii="宋体" w:hAnsi="宋体" w:eastAsia="宋体" w:cs="宋体"/>
                <w:color w:val="000000"/>
                <w:spacing w:val="-2"/>
                <w:sz w:val="21"/>
                <w:szCs w:val="21"/>
                <w:lang w:eastAsia="zh-CN"/>
              </w:rPr>
              <w:t>已</w:t>
            </w:r>
            <w:r>
              <w:rPr>
                <w:rFonts w:hint="eastAsia" w:ascii="宋体" w:hAnsi="宋体" w:eastAsia="宋体" w:cs="宋体"/>
                <w:color w:val="000000"/>
                <w:sz w:val="21"/>
                <w:szCs w:val="21"/>
                <w:lang w:eastAsia="zh-CN"/>
              </w:rPr>
              <w:t>撤</w:t>
            </w:r>
            <w:r>
              <w:rPr>
                <w:rFonts w:hint="eastAsia" w:ascii="宋体" w:hAnsi="宋体" w:eastAsia="宋体" w:cs="宋体"/>
                <w:color w:val="000000"/>
                <w:spacing w:val="-9"/>
                <w:sz w:val="21"/>
                <w:szCs w:val="21"/>
                <w:lang w:eastAsia="zh-CN"/>
              </w:rPr>
              <w:t>、</w:t>
            </w:r>
            <w:r>
              <w:rPr>
                <w:rFonts w:hint="eastAsia" w:ascii="宋体" w:hAnsi="宋体" w:eastAsia="宋体" w:cs="宋体"/>
                <w:color w:val="000000"/>
                <w:spacing w:val="-2"/>
                <w:sz w:val="21"/>
                <w:szCs w:val="21"/>
                <w:lang w:eastAsia="zh-CN"/>
              </w:rPr>
              <w:t>部</w:t>
            </w:r>
            <w:r>
              <w:rPr>
                <w:rFonts w:hint="eastAsia" w:ascii="宋体" w:hAnsi="宋体" w:eastAsia="宋体" w:cs="宋体"/>
                <w:color w:val="000000"/>
                <w:sz w:val="21"/>
                <w:szCs w:val="21"/>
                <w:lang w:eastAsia="zh-CN"/>
              </w:rPr>
              <w:t>撤</w:t>
            </w:r>
            <w:r>
              <w:rPr>
                <w:rFonts w:hint="eastAsia" w:ascii="宋体" w:hAnsi="宋体" w:eastAsia="宋体" w:cs="宋体"/>
                <w:color w:val="000000"/>
                <w:spacing w:val="-9"/>
                <w:sz w:val="21"/>
                <w:szCs w:val="21"/>
                <w:lang w:eastAsia="zh-CN"/>
              </w:rPr>
              <w:t>、</w:t>
            </w:r>
            <w:r>
              <w:rPr>
                <w:rFonts w:hint="eastAsia" w:ascii="宋体" w:hAnsi="宋体" w:eastAsia="宋体" w:cs="宋体"/>
                <w:color w:val="000000"/>
                <w:spacing w:val="-2"/>
                <w:sz w:val="21"/>
                <w:szCs w:val="21"/>
                <w:lang w:eastAsia="zh-CN"/>
              </w:rPr>
              <w:t>废</w:t>
            </w:r>
            <w:r>
              <w:rPr>
                <w:rFonts w:hint="eastAsia" w:ascii="宋体" w:hAnsi="宋体" w:eastAsia="宋体" w:cs="宋体"/>
                <w:color w:val="000000"/>
                <w:sz w:val="21"/>
                <w:szCs w:val="21"/>
                <w:lang w:eastAsia="zh-CN"/>
              </w:rPr>
              <w:t>单</w:t>
            </w:r>
            <w:r>
              <w:rPr>
                <w:rFonts w:hint="eastAsia" w:ascii="宋体" w:hAnsi="宋体" w:eastAsia="宋体" w:cs="宋体"/>
                <w:color w:val="000000"/>
                <w:spacing w:val="-9"/>
                <w:sz w:val="21"/>
                <w:szCs w:val="21"/>
                <w:lang w:eastAsia="zh-CN"/>
              </w:rPr>
              <w:t>）</w:t>
            </w:r>
            <w:r>
              <w:rPr>
                <w:rFonts w:hint="eastAsia" w:ascii="宋体" w:hAnsi="宋体" w:eastAsia="宋体" w:cs="宋体"/>
                <w:color w:val="000000"/>
                <w:spacing w:val="-12"/>
                <w:sz w:val="21"/>
                <w:szCs w:val="21"/>
                <w:lang w:eastAsia="zh-CN"/>
              </w:rPr>
              <w:t>，</w:t>
            </w:r>
            <w:r>
              <w:rPr>
                <w:rFonts w:hint="eastAsia" w:ascii="宋体" w:hAnsi="宋体" w:eastAsia="宋体" w:cs="宋体"/>
                <w:color w:val="000000"/>
                <w:sz w:val="21"/>
                <w:szCs w:val="21"/>
                <w:lang w:eastAsia="zh-CN"/>
              </w:rPr>
              <w:t>则</w:t>
            </w:r>
            <w:r>
              <w:rPr>
                <w:rFonts w:hint="eastAsia" w:ascii="宋体" w:hAnsi="宋体" w:eastAsia="宋体" w:cs="宋体"/>
                <w:color w:val="000000"/>
                <w:spacing w:val="-2"/>
                <w:sz w:val="21"/>
                <w:szCs w:val="21"/>
                <w:lang w:eastAsia="zh-CN"/>
              </w:rPr>
              <w:t>直</w:t>
            </w:r>
            <w:r>
              <w:rPr>
                <w:rFonts w:hint="eastAsia" w:ascii="宋体" w:hAnsi="宋体" w:eastAsia="宋体" w:cs="宋体"/>
                <w:color w:val="000000"/>
                <w:sz w:val="21"/>
                <w:szCs w:val="21"/>
                <w:lang w:eastAsia="zh-CN"/>
              </w:rPr>
              <w:t>接按</w:t>
            </w:r>
            <w:r>
              <w:rPr>
                <w:rFonts w:hint="eastAsia" w:ascii="宋体" w:hAnsi="宋体" w:eastAsia="宋体" w:cs="宋体"/>
                <w:color w:val="000000"/>
                <w:spacing w:val="-2"/>
                <w:sz w:val="21"/>
                <w:szCs w:val="21"/>
                <w:lang w:eastAsia="zh-CN"/>
              </w:rPr>
              <w:t>照</w:t>
            </w:r>
            <w:r>
              <w:rPr>
                <w:rFonts w:hint="eastAsia" w:ascii="宋体" w:hAnsi="宋体" w:eastAsia="宋体" w:cs="宋体"/>
                <w:color w:val="000000"/>
                <w:sz w:val="21"/>
                <w:szCs w:val="21"/>
                <w:lang w:eastAsia="zh-CN"/>
              </w:rPr>
              <w:t>订单的未</w:t>
            </w:r>
            <w:r>
              <w:rPr>
                <w:rFonts w:hint="eastAsia" w:ascii="宋体" w:hAnsi="宋体" w:eastAsia="宋体" w:cs="宋体"/>
                <w:color w:val="000000"/>
                <w:spacing w:val="-2"/>
                <w:sz w:val="21"/>
                <w:szCs w:val="21"/>
                <w:lang w:eastAsia="zh-CN"/>
              </w:rPr>
              <w:t>完</w:t>
            </w:r>
            <w:r>
              <w:rPr>
                <w:rFonts w:hint="eastAsia" w:ascii="宋体" w:hAnsi="宋体" w:eastAsia="宋体" w:cs="宋体"/>
                <w:color w:val="000000"/>
                <w:sz w:val="21"/>
                <w:szCs w:val="21"/>
                <w:lang w:eastAsia="zh-CN"/>
              </w:rPr>
              <w:t>成</w:t>
            </w:r>
            <w:r>
              <w:rPr>
                <w:rFonts w:hint="eastAsia" w:ascii="宋体" w:hAnsi="宋体" w:eastAsia="宋体" w:cs="宋体"/>
                <w:color w:val="000000"/>
                <w:spacing w:val="-2"/>
                <w:sz w:val="21"/>
                <w:szCs w:val="21"/>
                <w:lang w:eastAsia="zh-CN"/>
              </w:rPr>
              <w:t>数</w:t>
            </w:r>
            <w:r>
              <w:rPr>
                <w:rFonts w:hint="eastAsia" w:ascii="宋体" w:hAnsi="宋体" w:eastAsia="宋体" w:cs="宋体"/>
                <w:color w:val="000000"/>
                <w:sz w:val="21"/>
                <w:szCs w:val="21"/>
                <w:lang w:eastAsia="zh-CN"/>
              </w:rPr>
              <w:t>量</w:t>
            </w:r>
            <w:r>
              <w:rPr>
                <w:rFonts w:hint="eastAsia" w:ascii="宋体" w:hAnsi="宋体" w:eastAsia="宋体" w:cs="宋体"/>
                <w:color w:val="000000"/>
                <w:spacing w:val="-2"/>
                <w:sz w:val="21"/>
                <w:szCs w:val="21"/>
                <w:lang w:eastAsia="zh-CN"/>
              </w:rPr>
              <w:t>及</w:t>
            </w:r>
            <w:r>
              <w:rPr>
                <w:rFonts w:hint="eastAsia" w:ascii="宋体" w:hAnsi="宋体" w:eastAsia="宋体" w:cs="宋体"/>
                <w:color w:val="000000"/>
                <w:sz w:val="21"/>
                <w:szCs w:val="21"/>
                <w:lang w:eastAsia="zh-CN"/>
              </w:rPr>
              <w:t>撤</w:t>
            </w:r>
            <w:r>
              <w:rPr>
                <w:rFonts w:hint="eastAsia" w:ascii="宋体" w:hAnsi="宋体" w:eastAsia="宋体" w:cs="宋体"/>
                <w:color w:val="000000"/>
                <w:spacing w:val="-2"/>
                <w:sz w:val="21"/>
                <w:szCs w:val="21"/>
                <w:lang w:eastAsia="zh-CN"/>
              </w:rPr>
              <w:t>补</w:t>
            </w:r>
            <w:r>
              <w:rPr>
                <w:rFonts w:hint="eastAsia" w:ascii="宋体" w:hAnsi="宋体" w:eastAsia="宋体" w:cs="宋体"/>
                <w:color w:val="000000"/>
                <w:sz w:val="21"/>
                <w:szCs w:val="21"/>
                <w:lang w:eastAsia="zh-CN"/>
              </w:rPr>
              <w:t>价</w:t>
            </w:r>
            <w:r>
              <w:rPr>
                <w:rFonts w:hint="eastAsia" w:ascii="宋体" w:hAnsi="宋体" w:eastAsia="宋体" w:cs="宋体"/>
                <w:color w:val="000000"/>
                <w:spacing w:val="-2"/>
                <w:sz w:val="21"/>
                <w:szCs w:val="21"/>
                <w:lang w:eastAsia="zh-CN"/>
              </w:rPr>
              <w:t>进</w:t>
            </w:r>
            <w:r>
              <w:rPr>
                <w:rFonts w:hint="eastAsia" w:ascii="宋体" w:hAnsi="宋体" w:eastAsia="宋体" w:cs="宋体"/>
                <w:color w:val="000000"/>
                <w:sz w:val="21"/>
                <w:szCs w:val="21"/>
                <w:lang w:eastAsia="zh-CN"/>
              </w:rPr>
              <w:t>行补</w:t>
            </w:r>
            <w:r>
              <w:rPr>
                <w:rFonts w:hint="eastAsia" w:ascii="宋体" w:hAnsi="宋体" w:eastAsia="宋体" w:cs="宋体"/>
                <w:color w:val="000000"/>
                <w:spacing w:val="-2"/>
                <w:sz w:val="21"/>
                <w:szCs w:val="21"/>
                <w:lang w:eastAsia="zh-CN"/>
              </w:rPr>
              <w:t>单</w:t>
            </w:r>
            <w:r>
              <w:rPr>
                <w:rFonts w:hint="eastAsia" w:ascii="宋体" w:hAnsi="宋体" w:eastAsia="宋体" w:cs="宋体"/>
                <w:color w:val="000000"/>
                <w:sz w:val="21"/>
                <w:szCs w:val="21"/>
                <w:lang w:eastAsia="zh-CN"/>
              </w:rPr>
              <w:t xml:space="preserve">  </w:t>
            </w:r>
          </w:p>
        </w:tc>
      </w:tr>
      <w:tr w14:paraId="16ECB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388" w:type="dxa"/>
            <w:vAlign w:val="center"/>
          </w:tcPr>
          <w:p w14:paraId="280BB3D6">
            <w:pPr>
              <w:spacing w:line="312" w:lineRule="exact"/>
              <w:ind w:firstLine="112"/>
              <w:jc w:val="center"/>
              <w:rPr>
                <w:rFonts w:hint="eastAsia" w:ascii="宋体" w:hAnsi="宋体" w:eastAsia="宋体" w:cs="宋体"/>
                <w:color w:val="010302"/>
              </w:rPr>
            </w:pPr>
            <w:r>
              <w:rPr>
                <w:rFonts w:hint="eastAsia" w:ascii="宋体" w:hAnsi="宋体" w:eastAsia="宋体" w:cs="宋体"/>
                <w:color w:val="000000"/>
                <w:sz w:val="21"/>
                <w:szCs w:val="21"/>
              </w:rPr>
              <w:t>撤补</w:t>
            </w:r>
            <w:r>
              <w:rPr>
                <w:rFonts w:hint="eastAsia" w:ascii="宋体" w:hAnsi="宋体" w:eastAsia="宋体" w:cs="宋体"/>
                <w:color w:val="000000"/>
                <w:spacing w:val="-2"/>
                <w:sz w:val="21"/>
                <w:szCs w:val="21"/>
              </w:rPr>
              <w:t>价</w:t>
            </w:r>
          </w:p>
        </w:tc>
        <w:tc>
          <w:tcPr>
            <w:tcW w:w="5842" w:type="dxa"/>
          </w:tcPr>
          <w:p w14:paraId="36AE0966">
            <w:pPr>
              <w:spacing w:line="312" w:lineRule="exact"/>
              <w:ind w:right="2238"/>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对手</w:t>
            </w:r>
            <w:r>
              <w:rPr>
                <w:rFonts w:hint="eastAsia" w:ascii="宋体" w:hAnsi="宋体" w:eastAsia="宋体" w:cs="宋体"/>
                <w:color w:val="000000"/>
                <w:spacing w:val="-2"/>
                <w:sz w:val="21"/>
                <w:szCs w:val="21"/>
                <w:lang w:eastAsia="zh-CN"/>
              </w:rPr>
              <w:t>价</w:t>
            </w:r>
            <w:r>
              <w:rPr>
                <w:rFonts w:hint="eastAsia" w:ascii="宋体" w:hAnsi="宋体" w:eastAsia="宋体" w:cs="宋体"/>
                <w:color w:val="000000"/>
                <w:sz w:val="21"/>
                <w:szCs w:val="21"/>
                <w:lang w:eastAsia="zh-CN"/>
              </w:rPr>
              <w:t>：</w:t>
            </w:r>
            <w:r>
              <w:rPr>
                <w:rFonts w:hint="eastAsia" w:ascii="宋体" w:hAnsi="宋体" w:eastAsia="宋体" w:cs="宋体"/>
                <w:color w:val="000000"/>
                <w:spacing w:val="-2"/>
                <w:sz w:val="21"/>
                <w:szCs w:val="21"/>
                <w:lang w:eastAsia="zh-CN"/>
              </w:rPr>
              <w:t>默</w:t>
            </w:r>
            <w:r>
              <w:rPr>
                <w:rFonts w:hint="eastAsia" w:ascii="宋体" w:hAnsi="宋体" w:eastAsia="宋体" w:cs="宋体"/>
                <w:color w:val="000000"/>
                <w:sz w:val="21"/>
                <w:szCs w:val="21"/>
                <w:lang w:eastAsia="zh-CN"/>
              </w:rPr>
              <w:t>认</w:t>
            </w:r>
            <w:r>
              <w:rPr>
                <w:rFonts w:hint="eastAsia" w:ascii="宋体" w:hAnsi="宋体" w:eastAsia="宋体" w:cs="宋体"/>
                <w:color w:val="000000"/>
                <w:spacing w:val="-2"/>
                <w:sz w:val="21"/>
                <w:szCs w:val="21"/>
                <w:lang w:eastAsia="zh-CN"/>
              </w:rPr>
              <w:t>值</w:t>
            </w:r>
            <w:r>
              <w:rPr>
                <w:rFonts w:hint="eastAsia" w:ascii="宋体" w:hAnsi="宋体" w:eastAsia="宋体" w:cs="宋体"/>
                <w:color w:val="000000"/>
                <w:sz w:val="21"/>
                <w:szCs w:val="21"/>
                <w:lang w:eastAsia="zh-CN"/>
              </w:rPr>
              <w:t>，</w:t>
            </w:r>
            <w:r>
              <w:rPr>
                <w:rFonts w:hint="eastAsia" w:ascii="宋体" w:hAnsi="宋体" w:eastAsia="宋体" w:cs="宋体"/>
                <w:color w:val="000000"/>
                <w:spacing w:val="-2"/>
                <w:sz w:val="21"/>
                <w:szCs w:val="21"/>
                <w:lang w:eastAsia="zh-CN"/>
              </w:rPr>
              <w:t>指</w:t>
            </w:r>
            <w:r>
              <w:rPr>
                <w:rFonts w:hint="eastAsia" w:ascii="宋体" w:hAnsi="宋体" w:eastAsia="宋体" w:cs="宋体"/>
                <w:color w:val="000000"/>
                <w:sz w:val="21"/>
                <w:szCs w:val="21"/>
                <w:lang w:eastAsia="zh-CN"/>
              </w:rPr>
              <w:t>的</w:t>
            </w:r>
            <w:r>
              <w:rPr>
                <w:rFonts w:hint="eastAsia" w:ascii="宋体" w:hAnsi="宋体" w:eastAsia="宋体" w:cs="宋体"/>
                <w:color w:val="000000"/>
                <w:spacing w:val="-2"/>
                <w:sz w:val="21"/>
                <w:szCs w:val="21"/>
                <w:lang w:eastAsia="zh-CN"/>
              </w:rPr>
              <w:t>是</w:t>
            </w:r>
            <w:r>
              <w:rPr>
                <w:rFonts w:hint="eastAsia" w:ascii="宋体" w:hAnsi="宋体" w:eastAsia="宋体" w:cs="宋体"/>
                <w:color w:val="000000"/>
                <w:sz w:val="21"/>
                <w:szCs w:val="21"/>
                <w:lang w:eastAsia="zh-CN"/>
              </w:rPr>
              <w:t>对手</w:t>
            </w:r>
            <w:r>
              <w:rPr>
                <w:rFonts w:hint="eastAsia" w:ascii="宋体" w:hAnsi="宋体" w:eastAsia="宋体" w:cs="宋体"/>
                <w:color w:val="000000"/>
                <w:spacing w:val="-2"/>
                <w:sz w:val="21"/>
                <w:szCs w:val="21"/>
                <w:lang w:eastAsia="zh-CN"/>
              </w:rPr>
              <w:t>方</w:t>
            </w:r>
            <w:r>
              <w:rPr>
                <w:rFonts w:hint="eastAsia" w:ascii="宋体" w:hAnsi="宋体" w:eastAsia="宋体" w:cs="宋体"/>
                <w:color w:val="000000"/>
                <w:sz w:val="21"/>
                <w:szCs w:val="21"/>
                <w:lang w:eastAsia="zh-CN"/>
              </w:rPr>
              <w:t>一</w:t>
            </w:r>
            <w:r>
              <w:rPr>
                <w:rFonts w:hint="eastAsia" w:ascii="宋体" w:hAnsi="宋体" w:eastAsia="宋体" w:cs="宋体"/>
                <w:color w:val="000000"/>
                <w:spacing w:val="-2"/>
                <w:sz w:val="21"/>
                <w:szCs w:val="21"/>
                <w:lang w:eastAsia="zh-CN"/>
              </w:rPr>
              <w:t>档</w:t>
            </w:r>
            <w:r>
              <w:rPr>
                <w:rFonts w:hint="eastAsia" w:ascii="宋体" w:hAnsi="宋体" w:eastAsia="宋体" w:cs="宋体"/>
                <w:color w:val="000000"/>
                <w:sz w:val="21"/>
                <w:szCs w:val="21"/>
                <w:lang w:eastAsia="zh-CN"/>
              </w:rPr>
              <w:t xml:space="preserve">  </w:t>
            </w:r>
          </w:p>
          <w:p w14:paraId="321D23C4">
            <w:pPr>
              <w:spacing w:line="312" w:lineRule="exact"/>
              <w:ind w:right="2238"/>
              <w:rPr>
                <w:rFonts w:hint="eastAsia" w:ascii="宋体" w:hAnsi="宋体" w:eastAsia="宋体" w:cs="宋体"/>
                <w:color w:val="010302"/>
                <w:lang w:eastAsia="zh-CN"/>
              </w:rPr>
            </w:pPr>
            <w:r>
              <w:rPr>
                <w:rFonts w:hint="eastAsia" w:ascii="宋体" w:hAnsi="宋体" w:eastAsia="宋体" w:cs="宋体"/>
                <w:color w:val="000000"/>
                <w:sz w:val="21"/>
                <w:szCs w:val="21"/>
                <w:lang w:eastAsia="zh-CN"/>
              </w:rPr>
              <w:t>挂单</w:t>
            </w:r>
            <w:r>
              <w:rPr>
                <w:rFonts w:hint="eastAsia" w:ascii="宋体" w:hAnsi="宋体" w:eastAsia="宋体" w:cs="宋体"/>
                <w:color w:val="000000"/>
                <w:spacing w:val="-2"/>
                <w:sz w:val="21"/>
                <w:szCs w:val="21"/>
                <w:lang w:eastAsia="zh-CN"/>
              </w:rPr>
              <w:t>价</w:t>
            </w:r>
            <w:r>
              <w:rPr>
                <w:rFonts w:hint="eastAsia" w:ascii="宋体" w:hAnsi="宋体" w:eastAsia="宋体" w:cs="宋体"/>
                <w:color w:val="000000"/>
                <w:sz w:val="21"/>
                <w:szCs w:val="21"/>
                <w:lang w:eastAsia="zh-CN"/>
              </w:rPr>
              <w:t>：</w:t>
            </w:r>
            <w:r>
              <w:rPr>
                <w:rFonts w:hint="eastAsia" w:ascii="宋体" w:hAnsi="宋体" w:eastAsia="宋体" w:cs="宋体"/>
                <w:color w:val="000000"/>
                <w:spacing w:val="-2"/>
                <w:sz w:val="21"/>
                <w:szCs w:val="21"/>
                <w:lang w:eastAsia="zh-CN"/>
              </w:rPr>
              <w:t>指</w:t>
            </w:r>
            <w:r>
              <w:rPr>
                <w:rFonts w:hint="eastAsia" w:ascii="宋体" w:hAnsi="宋体" w:eastAsia="宋体" w:cs="宋体"/>
                <w:color w:val="000000"/>
                <w:sz w:val="21"/>
                <w:szCs w:val="21"/>
                <w:lang w:eastAsia="zh-CN"/>
              </w:rPr>
              <w:t>的</w:t>
            </w:r>
            <w:r>
              <w:rPr>
                <w:rFonts w:hint="eastAsia" w:ascii="宋体" w:hAnsi="宋体" w:eastAsia="宋体" w:cs="宋体"/>
                <w:color w:val="000000"/>
                <w:spacing w:val="-2"/>
                <w:sz w:val="21"/>
                <w:szCs w:val="21"/>
                <w:lang w:eastAsia="zh-CN"/>
              </w:rPr>
              <w:t>是</w:t>
            </w:r>
            <w:r>
              <w:rPr>
                <w:rFonts w:hint="eastAsia" w:ascii="宋体" w:hAnsi="宋体" w:eastAsia="宋体" w:cs="宋体"/>
                <w:color w:val="000000"/>
                <w:sz w:val="21"/>
                <w:szCs w:val="21"/>
                <w:lang w:eastAsia="zh-CN"/>
              </w:rPr>
              <w:t>本</w:t>
            </w:r>
            <w:r>
              <w:rPr>
                <w:rFonts w:hint="eastAsia" w:ascii="宋体" w:hAnsi="宋体" w:eastAsia="宋体" w:cs="宋体"/>
                <w:color w:val="000000"/>
                <w:spacing w:val="-2"/>
                <w:sz w:val="21"/>
                <w:szCs w:val="21"/>
                <w:lang w:eastAsia="zh-CN"/>
              </w:rPr>
              <w:t>方</w:t>
            </w:r>
            <w:r>
              <w:rPr>
                <w:rFonts w:hint="eastAsia" w:ascii="宋体" w:hAnsi="宋体" w:eastAsia="宋体" w:cs="宋体"/>
                <w:color w:val="000000"/>
                <w:sz w:val="21"/>
                <w:szCs w:val="21"/>
                <w:lang w:eastAsia="zh-CN"/>
              </w:rPr>
              <w:t>一</w:t>
            </w:r>
            <w:r>
              <w:rPr>
                <w:rFonts w:hint="eastAsia" w:ascii="宋体" w:hAnsi="宋体" w:eastAsia="宋体" w:cs="宋体"/>
                <w:color w:val="000000"/>
                <w:spacing w:val="-2"/>
                <w:sz w:val="21"/>
                <w:szCs w:val="21"/>
                <w:lang w:eastAsia="zh-CN"/>
              </w:rPr>
              <w:t>档</w:t>
            </w:r>
            <w:r>
              <w:rPr>
                <w:rFonts w:hint="eastAsia" w:ascii="宋体" w:hAnsi="宋体" w:eastAsia="宋体" w:cs="宋体"/>
                <w:color w:val="000000"/>
                <w:sz w:val="21"/>
                <w:szCs w:val="21"/>
                <w:lang w:eastAsia="zh-CN"/>
              </w:rPr>
              <w:t xml:space="preserve">  </w:t>
            </w:r>
          </w:p>
          <w:p w14:paraId="122D59BA">
            <w:pPr>
              <w:spacing w:before="14" w:line="312" w:lineRule="exact"/>
              <w:ind w:right="-25"/>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最新</w:t>
            </w:r>
            <w:r>
              <w:rPr>
                <w:rFonts w:hint="eastAsia" w:ascii="宋体" w:hAnsi="宋体" w:eastAsia="宋体" w:cs="宋体"/>
                <w:color w:val="000000"/>
                <w:spacing w:val="-2"/>
                <w:sz w:val="21"/>
                <w:szCs w:val="21"/>
                <w:lang w:eastAsia="zh-CN"/>
              </w:rPr>
              <w:t>价</w:t>
            </w:r>
            <w:r>
              <w:rPr>
                <w:rFonts w:hint="eastAsia" w:ascii="宋体" w:hAnsi="宋体" w:eastAsia="宋体" w:cs="宋体"/>
                <w:color w:val="000000"/>
                <w:sz w:val="21"/>
                <w:szCs w:val="21"/>
                <w:lang w:eastAsia="zh-CN"/>
              </w:rPr>
              <w:t>：</w:t>
            </w:r>
            <w:r>
              <w:rPr>
                <w:rFonts w:hint="eastAsia" w:ascii="宋体" w:hAnsi="宋体" w:eastAsia="宋体" w:cs="宋体"/>
                <w:color w:val="000000"/>
                <w:spacing w:val="-2"/>
                <w:sz w:val="21"/>
                <w:szCs w:val="21"/>
                <w:lang w:eastAsia="zh-CN"/>
              </w:rPr>
              <w:t>行</w:t>
            </w:r>
            <w:r>
              <w:rPr>
                <w:rFonts w:hint="eastAsia" w:ascii="宋体" w:hAnsi="宋体" w:eastAsia="宋体" w:cs="宋体"/>
                <w:color w:val="000000"/>
                <w:sz w:val="21"/>
                <w:szCs w:val="21"/>
                <w:lang w:eastAsia="zh-CN"/>
              </w:rPr>
              <w:t>情</w:t>
            </w:r>
            <w:r>
              <w:rPr>
                <w:rFonts w:hint="eastAsia" w:ascii="宋体" w:hAnsi="宋体" w:eastAsia="宋体" w:cs="宋体"/>
                <w:color w:val="000000"/>
                <w:spacing w:val="-2"/>
                <w:sz w:val="21"/>
                <w:szCs w:val="21"/>
                <w:lang w:eastAsia="zh-CN"/>
              </w:rPr>
              <w:t>中</w:t>
            </w:r>
            <w:r>
              <w:rPr>
                <w:rFonts w:hint="eastAsia" w:ascii="宋体" w:hAnsi="宋体" w:eastAsia="宋体" w:cs="宋体"/>
                <w:color w:val="000000"/>
                <w:sz w:val="21"/>
                <w:szCs w:val="21"/>
                <w:lang w:eastAsia="zh-CN"/>
              </w:rPr>
              <w:t>的</w:t>
            </w:r>
            <w:r>
              <w:rPr>
                <w:rFonts w:hint="eastAsia" w:ascii="宋体" w:hAnsi="宋体" w:eastAsia="宋体" w:cs="宋体"/>
                <w:color w:val="000000"/>
                <w:spacing w:val="-2"/>
                <w:sz w:val="21"/>
                <w:szCs w:val="21"/>
                <w:lang w:eastAsia="zh-CN"/>
              </w:rPr>
              <w:t>最</w:t>
            </w:r>
            <w:r>
              <w:rPr>
                <w:rFonts w:hint="eastAsia" w:ascii="宋体" w:hAnsi="宋体" w:eastAsia="宋体" w:cs="宋体"/>
                <w:color w:val="000000"/>
                <w:sz w:val="21"/>
                <w:szCs w:val="21"/>
                <w:lang w:eastAsia="zh-CN"/>
              </w:rPr>
              <w:t>新</w:t>
            </w:r>
            <w:r>
              <w:rPr>
                <w:rFonts w:hint="eastAsia" w:ascii="宋体" w:hAnsi="宋体" w:eastAsia="宋体" w:cs="宋体"/>
                <w:color w:val="000000"/>
                <w:spacing w:val="-2"/>
                <w:sz w:val="21"/>
                <w:szCs w:val="21"/>
                <w:lang w:eastAsia="zh-CN"/>
              </w:rPr>
              <w:t>成</w:t>
            </w:r>
            <w:r>
              <w:rPr>
                <w:rFonts w:hint="eastAsia" w:ascii="宋体" w:hAnsi="宋体" w:eastAsia="宋体" w:cs="宋体"/>
                <w:color w:val="000000"/>
                <w:sz w:val="21"/>
                <w:szCs w:val="21"/>
                <w:lang w:eastAsia="zh-CN"/>
              </w:rPr>
              <w:t>交</w:t>
            </w:r>
            <w:r>
              <w:rPr>
                <w:rFonts w:hint="eastAsia" w:ascii="宋体" w:hAnsi="宋体" w:eastAsia="宋体" w:cs="宋体"/>
                <w:color w:val="000000"/>
                <w:spacing w:val="-2"/>
                <w:sz w:val="21"/>
                <w:szCs w:val="21"/>
                <w:lang w:eastAsia="zh-CN"/>
              </w:rPr>
              <w:t>价</w:t>
            </w:r>
            <w:r>
              <w:rPr>
                <w:rFonts w:hint="eastAsia" w:ascii="宋体" w:hAnsi="宋体" w:eastAsia="宋体" w:cs="宋体"/>
                <w:color w:val="000000"/>
                <w:sz w:val="21"/>
                <w:szCs w:val="21"/>
                <w:lang w:eastAsia="zh-CN"/>
              </w:rPr>
              <w:t xml:space="preserve">  </w:t>
            </w:r>
          </w:p>
          <w:p w14:paraId="1F3F4DAF">
            <w:pPr>
              <w:spacing w:before="14" w:line="312" w:lineRule="exact"/>
              <w:ind w:right="-25"/>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买/</w:t>
            </w:r>
            <w:r>
              <w:rPr>
                <w:rFonts w:hint="eastAsia" w:ascii="宋体" w:hAnsi="宋体" w:eastAsia="宋体" w:cs="宋体"/>
                <w:color w:val="000000"/>
                <w:spacing w:val="-2"/>
                <w:sz w:val="21"/>
                <w:szCs w:val="21"/>
                <w:lang w:eastAsia="zh-CN"/>
              </w:rPr>
              <w:t>卖</w:t>
            </w:r>
            <w:r>
              <w:rPr>
                <w:rFonts w:hint="eastAsia" w:ascii="宋体" w:hAnsi="宋体" w:eastAsia="宋体" w:cs="宋体"/>
                <w:color w:val="000000"/>
                <w:sz w:val="21"/>
                <w:szCs w:val="21"/>
                <w:lang w:eastAsia="zh-CN"/>
              </w:rPr>
              <w:t>一</w:t>
            </w:r>
            <w:r>
              <w:rPr>
                <w:rFonts w:hint="eastAsia" w:ascii="宋体" w:hAnsi="宋体" w:eastAsia="宋体" w:cs="宋体"/>
                <w:color w:val="000000"/>
                <w:spacing w:val="-2"/>
                <w:sz w:val="21"/>
                <w:szCs w:val="21"/>
                <w:lang w:eastAsia="zh-CN"/>
              </w:rPr>
              <w:t>价</w:t>
            </w:r>
            <w:r>
              <w:rPr>
                <w:rFonts w:hint="eastAsia" w:ascii="宋体" w:hAnsi="宋体" w:eastAsia="宋体" w:cs="宋体"/>
                <w:color w:val="000000"/>
                <w:sz w:val="21"/>
                <w:szCs w:val="21"/>
                <w:lang w:eastAsia="zh-CN"/>
              </w:rPr>
              <w:t>到买</w:t>
            </w:r>
            <w:r>
              <w:rPr>
                <w:rFonts w:hint="eastAsia" w:ascii="宋体" w:hAnsi="宋体" w:eastAsia="宋体" w:cs="宋体"/>
                <w:color w:val="000000"/>
                <w:spacing w:val="-2"/>
                <w:sz w:val="21"/>
                <w:szCs w:val="21"/>
                <w:lang w:eastAsia="zh-CN"/>
              </w:rPr>
              <w:t>/</w:t>
            </w:r>
            <w:r>
              <w:rPr>
                <w:rFonts w:hint="eastAsia" w:ascii="宋体" w:hAnsi="宋体" w:eastAsia="宋体" w:cs="宋体"/>
                <w:color w:val="000000"/>
                <w:sz w:val="21"/>
                <w:szCs w:val="21"/>
                <w:lang w:eastAsia="zh-CN"/>
              </w:rPr>
              <w:t>卖</w:t>
            </w:r>
            <w:r>
              <w:rPr>
                <w:rFonts w:hint="eastAsia" w:ascii="宋体" w:hAnsi="宋体" w:eastAsia="宋体" w:cs="宋体"/>
                <w:color w:val="000000"/>
                <w:spacing w:val="-2"/>
                <w:sz w:val="21"/>
                <w:szCs w:val="21"/>
                <w:lang w:eastAsia="zh-CN"/>
              </w:rPr>
              <w:t>五</w:t>
            </w:r>
            <w:r>
              <w:rPr>
                <w:rFonts w:hint="eastAsia" w:ascii="宋体" w:hAnsi="宋体" w:eastAsia="宋体" w:cs="宋体"/>
                <w:color w:val="000000"/>
                <w:sz w:val="21"/>
                <w:szCs w:val="21"/>
                <w:lang w:eastAsia="zh-CN"/>
              </w:rPr>
              <w:t>价</w:t>
            </w:r>
            <w:r>
              <w:rPr>
                <w:rFonts w:hint="eastAsia" w:ascii="宋体" w:hAnsi="宋体" w:eastAsia="宋体" w:cs="宋体"/>
                <w:color w:val="000000"/>
                <w:spacing w:val="-2"/>
                <w:sz w:val="21"/>
                <w:szCs w:val="21"/>
                <w:lang w:eastAsia="zh-CN"/>
              </w:rPr>
              <w:t>：</w:t>
            </w:r>
            <w:r>
              <w:rPr>
                <w:rFonts w:hint="eastAsia" w:ascii="宋体" w:hAnsi="宋体" w:eastAsia="宋体" w:cs="宋体"/>
                <w:color w:val="000000"/>
                <w:sz w:val="21"/>
                <w:szCs w:val="21"/>
                <w:lang w:eastAsia="zh-CN"/>
              </w:rPr>
              <w:t>行情</w:t>
            </w:r>
            <w:r>
              <w:rPr>
                <w:rFonts w:hint="eastAsia" w:ascii="宋体" w:hAnsi="宋体" w:eastAsia="宋体" w:cs="宋体"/>
                <w:color w:val="000000"/>
                <w:spacing w:val="-2"/>
                <w:sz w:val="21"/>
                <w:szCs w:val="21"/>
                <w:lang w:eastAsia="zh-CN"/>
              </w:rPr>
              <w:t>中</w:t>
            </w:r>
            <w:r>
              <w:rPr>
                <w:rFonts w:hint="eastAsia" w:ascii="宋体" w:hAnsi="宋体" w:eastAsia="宋体" w:cs="宋体"/>
                <w:color w:val="000000"/>
                <w:sz w:val="21"/>
                <w:szCs w:val="21"/>
                <w:lang w:eastAsia="zh-CN"/>
              </w:rPr>
              <w:t>的</w:t>
            </w:r>
            <w:r>
              <w:rPr>
                <w:rFonts w:hint="eastAsia" w:ascii="宋体" w:hAnsi="宋体" w:eastAsia="宋体" w:cs="宋体"/>
                <w:color w:val="000000"/>
                <w:spacing w:val="-2"/>
                <w:sz w:val="21"/>
                <w:szCs w:val="21"/>
                <w:lang w:eastAsia="zh-CN"/>
              </w:rPr>
              <w:t>买</w:t>
            </w:r>
            <w:r>
              <w:rPr>
                <w:rFonts w:hint="eastAsia" w:ascii="宋体" w:hAnsi="宋体" w:eastAsia="宋体" w:cs="宋体"/>
                <w:color w:val="000000"/>
                <w:sz w:val="21"/>
                <w:szCs w:val="21"/>
                <w:lang w:eastAsia="zh-CN"/>
              </w:rPr>
              <w:t>/</w:t>
            </w:r>
            <w:r>
              <w:rPr>
                <w:rFonts w:hint="eastAsia" w:ascii="宋体" w:hAnsi="宋体" w:eastAsia="宋体" w:cs="宋体"/>
                <w:color w:val="000000"/>
                <w:spacing w:val="50"/>
                <w:sz w:val="21"/>
                <w:szCs w:val="21"/>
                <w:lang w:eastAsia="zh-CN"/>
              </w:rPr>
              <w:t>卖</w:t>
            </w:r>
            <w:r>
              <w:rPr>
                <w:rFonts w:hint="eastAsia" w:ascii="宋体" w:hAnsi="宋体" w:eastAsia="宋体" w:cs="宋体"/>
                <w:color w:val="000000"/>
                <w:spacing w:val="50"/>
                <w:sz w:val="21"/>
                <w:szCs w:val="21"/>
                <w:lang w:val="en-US" w:eastAsia="zh-CN"/>
              </w:rPr>
              <w:t>5</w:t>
            </w:r>
            <w:r>
              <w:rPr>
                <w:rFonts w:hint="eastAsia" w:ascii="宋体" w:hAnsi="宋体" w:eastAsia="宋体" w:cs="宋体"/>
                <w:color w:val="000000"/>
                <w:sz w:val="21"/>
                <w:szCs w:val="21"/>
                <w:lang w:eastAsia="zh-CN"/>
              </w:rPr>
              <w:t>档</w:t>
            </w:r>
            <w:r>
              <w:rPr>
                <w:rFonts w:hint="eastAsia" w:ascii="宋体" w:hAnsi="宋体" w:eastAsia="宋体" w:cs="宋体"/>
                <w:color w:val="000000"/>
                <w:spacing w:val="-2"/>
                <w:sz w:val="21"/>
                <w:szCs w:val="21"/>
                <w:lang w:eastAsia="zh-CN"/>
              </w:rPr>
              <w:t>盘</w:t>
            </w:r>
            <w:r>
              <w:rPr>
                <w:rFonts w:hint="eastAsia" w:ascii="宋体" w:hAnsi="宋体" w:eastAsia="宋体" w:cs="宋体"/>
                <w:color w:val="000000"/>
                <w:sz w:val="21"/>
                <w:szCs w:val="21"/>
                <w:lang w:eastAsia="zh-CN"/>
              </w:rPr>
              <w:t>口</w:t>
            </w:r>
            <w:r>
              <w:rPr>
                <w:rFonts w:hint="eastAsia" w:ascii="宋体" w:hAnsi="宋体" w:eastAsia="宋体" w:cs="宋体"/>
                <w:color w:val="000000"/>
                <w:spacing w:val="-2"/>
                <w:sz w:val="21"/>
                <w:szCs w:val="21"/>
                <w:lang w:eastAsia="zh-CN"/>
              </w:rPr>
              <w:t>价</w:t>
            </w:r>
            <w:r>
              <w:rPr>
                <w:rFonts w:hint="eastAsia" w:ascii="宋体" w:hAnsi="宋体" w:eastAsia="宋体" w:cs="宋体"/>
                <w:color w:val="000000"/>
                <w:sz w:val="21"/>
                <w:szCs w:val="21"/>
                <w:lang w:eastAsia="zh-CN"/>
              </w:rPr>
              <w:t xml:space="preserve">  </w:t>
            </w:r>
          </w:p>
          <w:p w14:paraId="00FF2315">
            <w:pPr>
              <w:spacing w:before="14" w:line="312" w:lineRule="exact"/>
              <w:ind w:right="-25"/>
              <w:rPr>
                <w:rFonts w:hint="eastAsia" w:ascii="宋体" w:hAnsi="宋体" w:eastAsia="宋体" w:cs="宋体"/>
                <w:color w:val="010302"/>
                <w:lang w:eastAsia="zh-CN"/>
              </w:rPr>
            </w:pPr>
            <w:r>
              <w:rPr>
                <w:rFonts w:hint="eastAsia" w:ascii="宋体" w:hAnsi="宋体" w:eastAsia="宋体" w:cs="宋体"/>
                <w:color w:val="000000"/>
                <w:sz w:val="21"/>
                <w:szCs w:val="21"/>
                <w:lang w:eastAsia="zh-CN"/>
              </w:rPr>
              <w:t>自动</w:t>
            </w:r>
            <w:r>
              <w:rPr>
                <w:rFonts w:hint="eastAsia" w:ascii="宋体" w:hAnsi="宋体" w:eastAsia="宋体" w:cs="宋体"/>
                <w:color w:val="000000"/>
                <w:spacing w:val="-2"/>
                <w:sz w:val="21"/>
                <w:szCs w:val="21"/>
                <w:lang w:eastAsia="zh-CN"/>
              </w:rPr>
              <w:t>盘</w:t>
            </w:r>
            <w:r>
              <w:rPr>
                <w:rFonts w:hint="eastAsia" w:ascii="宋体" w:hAnsi="宋体" w:eastAsia="宋体" w:cs="宋体"/>
                <w:color w:val="000000"/>
                <w:sz w:val="21"/>
                <w:szCs w:val="21"/>
                <w:lang w:eastAsia="zh-CN"/>
              </w:rPr>
              <w:t>口</w:t>
            </w:r>
            <w:r>
              <w:rPr>
                <w:rFonts w:hint="eastAsia" w:ascii="宋体" w:hAnsi="宋体" w:eastAsia="宋体" w:cs="宋体"/>
                <w:color w:val="000000"/>
                <w:spacing w:val="-26"/>
                <w:sz w:val="21"/>
                <w:szCs w:val="21"/>
                <w:lang w:eastAsia="zh-CN"/>
              </w:rPr>
              <w:t>：</w:t>
            </w:r>
            <w:r>
              <w:rPr>
                <w:rFonts w:hint="eastAsia" w:ascii="宋体" w:hAnsi="宋体" w:eastAsia="宋体" w:cs="宋体"/>
                <w:color w:val="000000"/>
                <w:sz w:val="21"/>
                <w:szCs w:val="21"/>
                <w:lang w:eastAsia="zh-CN"/>
              </w:rPr>
              <w:t>根</w:t>
            </w:r>
            <w:r>
              <w:rPr>
                <w:rFonts w:hint="eastAsia" w:ascii="宋体" w:hAnsi="宋体" w:eastAsia="宋体" w:cs="宋体"/>
                <w:color w:val="000000"/>
                <w:spacing w:val="-2"/>
                <w:sz w:val="21"/>
                <w:szCs w:val="21"/>
                <w:lang w:eastAsia="zh-CN"/>
              </w:rPr>
              <w:t>据</w:t>
            </w:r>
            <w:r>
              <w:rPr>
                <w:rFonts w:hint="eastAsia" w:ascii="宋体" w:hAnsi="宋体" w:eastAsia="宋体" w:cs="宋体"/>
                <w:color w:val="000000"/>
                <w:sz w:val="21"/>
                <w:szCs w:val="21"/>
                <w:lang w:eastAsia="zh-CN"/>
              </w:rPr>
              <w:t>委</w:t>
            </w:r>
            <w:r>
              <w:rPr>
                <w:rFonts w:hint="eastAsia" w:ascii="宋体" w:hAnsi="宋体" w:eastAsia="宋体" w:cs="宋体"/>
                <w:color w:val="000000"/>
                <w:spacing w:val="-2"/>
                <w:sz w:val="21"/>
                <w:szCs w:val="21"/>
                <w:lang w:eastAsia="zh-CN"/>
              </w:rPr>
              <w:t>托</w:t>
            </w:r>
            <w:r>
              <w:rPr>
                <w:rFonts w:hint="eastAsia" w:ascii="宋体" w:hAnsi="宋体" w:eastAsia="宋体" w:cs="宋体"/>
                <w:color w:val="000000"/>
                <w:sz w:val="21"/>
                <w:szCs w:val="21"/>
                <w:lang w:eastAsia="zh-CN"/>
              </w:rPr>
              <w:t>数</w:t>
            </w:r>
            <w:r>
              <w:rPr>
                <w:rFonts w:hint="eastAsia" w:ascii="宋体" w:hAnsi="宋体" w:eastAsia="宋体" w:cs="宋体"/>
                <w:color w:val="000000"/>
                <w:spacing w:val="-2"/>
                <w:sz w:val="21"/>
                <w:szCs w:val="21"/>
                <w:lang w:eastAsia="zh-CN"/>
              </w:rPr>
              <w:t>量</w:t>
            </w:r>
            <w:r>
              <w:rPr>
                <w:rFonts w:hint="eastAsia" w:ascii="宋体" w:hAnsi="宋体" w:eastAsia="宋体" w:cs="宋体"/>
                <w:color w:val="000000"/>
                <w:spacing w:val="-24"/>
                <w:sz w:val="21"/>
                <w:szCs w:val="21"/>
                <w:lang w:eastAsia="zh-CN"/>
              </w:rPr>
              <w:t>、</w:t>
            </w:r>
            <w:r>
              <w:rPr>
                <w:rFonts w:hint="eastAsia" w:ascii="宋体" w:hAnsi="宋体" w:eastAsia="宋体" w:cs="宋体"/>
                <w:color w:val="000000"/>
                <w:sz w:val="21"/>
                <w:szCs w:val="21"/>
                <w:lang w:eastAsia="zh-CN"/>
              </w:rPr>
              <w:t>买</w:t>
            </w:r>
            <w:r>
              <w:rPr>
                <w:rFonts w:hint="eastAsia" w:ascii="宋体" w:hAnsi="宋体" w:eastAsia="宋体" w:cs="宋体"/>
                <w:color w:val="000000"/>
                <w:spacing w:val="-2"/>
                <w:sz w:val="21"/>
                <w:szCs w:val="21"/>
                <w:lang w:eastAsia="zh-CN"/>
              </w:rPr>
              <w:t>卖</w:t>
            </w:r>
            <w:r>
              <w:rPr>
                <w:rFonts w:hint="eastAsia" w:ascii="宋体" w:hAnsi="宋体" w:eastAsia="宋体" w:cs="宋体"/>
                <w:color w:val="000000"/>
                <w:sz w:val="21"/>
                <w:szCs w:val="21"/>
                <w:lang w:eastAsia="zh-CN"/>
              </w:rPr>
              <w:t>方</w:t>
            </w:r>
            <w:r>
              <w:rPr>
                <w:rFonts w:hint="eastAsia" w:ascii="宋体" w:hAnsi="宋体" w:eastAsia="宋体" w:cs="宋体"/>
                <w:color w:val="000000"/>
                <w:spacing w:val="-2"/>
                <w:sz w:val="21"/>
                <w:szCs w:val="21"/>
                <w:lang w:eastAsia="zh-CN"/>
              </w:rPr>
              <w:t>向</w:t>
            </w:r>
            <w:r>
              <w:rPr>
                <w:rFonts w:hint="eastAsia" w:ascii="宋体" w:hAnsi="宋体" w:eastAsia="宋体" w:cs="宋体"/>
                <w:color w:val="000000"/>
                <w:sz w:val="21"/>
                <w:szCs w:val="21"/>
                <w:lang w:eastAsia="zh-CN"/>
              </w:rPr>
              <w:t>以</w:t>
            </w:r>
            <w:r>
              <w:rPr>
                <w:rFonts w:hint="eastAsia" w:ascii="宋体" w:hAnsi="宋体" w:eastAsia="宋体" w:cs="宋体"/>
                <w:color w:val="000000"/>
                <w:spacing w:val="50"/>
                <w:sz w:val="21"/>
                <w:szCs w:val="21"/>
                <w:lang w:eastAsia="zh-CN"/>
              </w:rPr>
              <w:t>及</w:t>
            </w:r>
            <w:r>
              <w:rPr>
                <w:rFonts w:hint="eastAsia" w:ascii="宋体" w:hAnsi="宋体" w:eastAsia="宋体" w:cs="宋体"/>
                <w:color w:val="000000"/>
                <w:spacing w:val="51"/>
                <w:sz w:val="21"/>
                <w:szCs w:val="21"/>
                <w:lang w:eastAsia="zh-CN"/>
              </w:rPr>
              <w:t>5</w:t>
            </w:r>
            <w:r>
              <w:rPr>
                <w:rFonts w:hint="eastAsia" w:ascii="宋体" w:hAnsi="宋体" w:eastAsia="宋体" w:cs="宋体"/>
                <w:color w:val="000000"/>
                <w:sz w:val="21"/>
                <w:szCs w:val="21"/>
                <w:lang w:eastAsia="zh-CN"/>
              </w:rPr>
              <w:t>档</w:t>
            </w:r>
            <w:r>
              <w:rPr>
                <w:rFonts w:hint="eastAsia" w:ascii="宋体" w:hAnsi="宋体" w:eastAsia="宋体" w:cs="宋体"/>
                <w:color w:val="000000"/>
                <w:spacing w:val="-2"/>
                <w:sz w:val="21"/>
                <w:szCs w:val="21"/>
                <w:lang w:eastAsia="zh-CN"/>
              </w:rPr>
              <w:t>行情</w:t>
            </w:r>
            <w:r>
              <w:rPr>
                <w:rFonts w:hint="eastAsia" w:ascii="宋体" w:hAnsi="宋体" w:eastAsia="宋体" w:cs="宋体"/>
                <w:color w:val="000000"/>
                <w:sz w:val="21"/>
                <w:szCs w:val="21"/>
                <w:lang w:eastAsia="zh-CN"/>
              </w:rPr>
              <w:t>买卖</w:t>
            </w:r>
            <w:r>
              <w:rPr>
                <w:rFonts w:hint="eastAsia" w:ascii="宋体" w:hAnsi="宋体" w:eastAsia="宋体" w:cs="宋体"/>
                <w:color w:val="000000"/>
                <w:spacing w:val="-2"/>
                <w:sz w:val="21"/>
                <w:szCs w:val="21"/>
                <w:lang w:eastAsia="zh-CN"/>
              </w:rPr>
              <w:t>盘</w:t>
            </w:r>
            <w:r>
              <w:rPr>
                <w:rFonts w:hint="eastAsia" w:ascii="宋体" w:hAnsi="宋体" w:eastAsia="宋体" w:cs="宋体"/>
                <w:color w:val="000000"/>
                <w:sz w:val="21"/>
                <w:szCs w:val="21"/>
                <w:lang w:eastAsia="zh-CN"/>
              </w:rPr>
              <w:t>的价格和</w:t>
            </w:r>
            <w:r>
              <w:rPr>
                <w:rFonts w:hint="eastAsia" w:ascii="宋体" w:hAnsi="宋体" w:eastAsia="宋体" w:cs="宋体"/>
                <w:color w:val="000000"/>
                <w:spacing w:val="-2"/>
                <w:sz w:val="21"/>
                <w:szCs w:val="21"/>
                <w:lang w:eastAsia="zh-CN"/>
              </w:rPr>
              <w:t>数量</w:t>
            </w:r>
            <w:r>
              <w:rPr>
                <w:rFonts w:hint="eastAsia" w:ascii="宋体" w:hAnsi="宋体" w:eastAsia="宋体" w:cs="宋体"/>
                <w:color w:val="000000"/>
                <w:spacing w:val="-21"/>
                <w:sz w:val="21"/>
                <w:szCs w:val="21"/>
                <w:lang w:eastAsia="zh-CN"/>
              </w:rPr>
              <w:t>，</w:t>
            </w:r>
            <w:r>
              <w:rPr>
                <w:rFonts w:hint="eastAsia" w:ascii="宋体" w:hAnsi="宋体" w:eastAsia="宋体" w:cs="宋体"/>
                <w:color w:val="000000"/>
                <w:spacing w:val="-2"/>
                <w:sz w:val="21"/>
                <w:szCs w:val="21"/>
                <w:lang w:eastAsia="zh-CN"/>
              </w:rPr>
              <w:t>自</w:t>
            </w:r>
            <w:r>
              <w:rPr>
                <w:rFonts w:hint="eastAsia" w:ascii="宋体" w:hAnsi="宋体" w:eastAsia="宋体" w:cs="宋体"/>
                <w:color w:val="000000"/>
                <w:sz w:val="21"/>
                <w:szCs w:val="21"/>
                <w:lang w:eastAsia="zh-CN"/>
              </w:rPr>
              <w:t>动</w:t>
            </w:r>
            <w:r>
              <w:rPr>
                <w:rFonts w:hint="eastAsia" w:ascii="宋体" w:hAnsi="宋体" w:eastAsia="宋体" w:cs="宋体"/>
                <w:color w:val="000000"/>
                <w:spacing w:val="-2"/>
                <w:sz w:val="21"/>
                <w:szCs w:val="21"/>
                <w:lang w:eastAsia="zh-CN"/>
              </w:rPr>
              <w:t>计</w:t>
            </w:r>
            <w:r>
              <w:rPr>
                <w:rFonts w:hint="eastAsia" w:ascii="宋体" w:hAnsi="宋体" w:eastAsia="宋体" w:cs="宋体"/>
                <w:color w:val="000000"/>
                <w:sz w:val="21"/>
                <w:szCs w:val="21"/>
                <w:lang w:eastAsia="zh-CN"/>
              </w:rPr>
              <w:t>算</w:t>
            </w:r>
            <w:r>
              <w:rPr>
                <w:rFonts w:hint="eastAsia" w:ascii="宋体" w:hAnsi="宋体" w:eastAsia="宋体" w:cs="宋体"/>
                <w:color w:val="000000"/>
                <w:spacing w:val="-2"/>
                <w:sz w:val="21"/>
                <w:szCs w:val="21"/>
                <w:lang w:eastAsia="zh-CN"/>
              </w:rPr>
              <w:t>出的</w:t>
            </w:r>
            <w:r>
              <w:rPr>
                <w:rFonts w:hint="eastAsia" w:ascii="宋体" w:hAnsi="宋体" w:eastAsia="宋体" w:cs="宋体"/>
                <w:color w:val="000000"/>
                <w:sz w:val="21"/>
                <w:szCs w:val="21"/>
                <w:lang w:eastAsia="zh-CN"/>
              </w:rPr>
              <w:t>委托</w:t>
            </w:r>
            <w:r>
              <w:rPr>
                <w:rFonts w:hint="eastAsia" w:ascii="宋体" w:hAnsi="宋体" w:eastAsia="宋体" w:cs="宋体"/>
                <w:color w:val="000000"/>
                <w:spacing w:val="-2"/>
                <w:sz w:val="21"/>
                <w:szCs w:val="21"/>
                <w:lang w:eastAsia="zh-CN"/>
              </w:rPr>
              <w:t>价格</w:t>
            </w:r>
            <w:r>
              <w:rPr>
                <w:rFonts w:hint="eastAsia" w:ascii="宋体" w:hAnsi="宋体" w:eastAsia="宋体" w:cs="宋体"/>
                <w:color w:val="000000"/>
                <w:spacing w:val="-21"/>
                <w:sz w:val="21"/>
                <w:szCs w:val="21"/>
                <w:lang w:eastAsia="zh-CN"/>
              </w:rPr>
              <w:t>，</w:t>
            </w:r>
            <w:r>
              <w:rPr>
                <w:rFonts w:hint="eastAsia" w:ascii="宋体" w:hAnsi="宋体" w:eastAsia="宋体" w:cs="宋体"/>
                <w:color w:val="000000"/>
                <w:spacing w:val="-2"/>
                <w:sz w:val="21"/>
                <w:szCs w:val="21"/>
                <w:lang w:eastAsia="zh-CN"/>
              </w:rPr>
              <w:t>使</w:t>
            </w:r>
            <w:r>
              <w:rPr>
                <w:rFonts w:hint="eastAsia" w:ascii="宋体" w:hAnsi="宋体" w:eastAsia="宋体" w:cs="宋体"/>
                <w:color w:val="000000"/>
                <w:sz w:val="21"/>
                <w:szCs w:val="21"/>
                <w:lang w:eastAsia="zh-CN"/>
              </w:rPr>
              <w:t>得</w:t>
            </w:r>
            <w:r>
              <w:rPr>
                <w:rFonts w:hint="eastAsia" w:ascii="宋体" w:hAnsi="宋体" w:eastAsia="宋体" w:cs="宋体"/>
                <w:color w:val="000000"/>
                <w:spacing w:val="-2"/>
                <w:sz w:val="21"/>
                <w:szCs w:val="21"/>
                <w:lang w:eastAsia="zh-CN"/>
              </w:rPr>
              <w:t>按</w:t>
            </w:r>
            <w:r>
              <w:rPr>
                <w:rFonts w:hint="eastAsia" w:ascii="宋体" w:hAnsi="宋体" w:eastAsia="宋体" w:cs="宋体"/>
                <w:color w:val="000000"/>
                <w:sz w:val="21"/>
                <w:szCs w:val="21"/>
                <w:lang w:eastAsia="zh-CN"/>
              </w:rPr>
              <w:t>当</w:t>
            </w:r>
            <w:r>
              <w:rPr>
                <w:rFonts w:hint="eastAsia" w:ascii="宋体" w:hAnsi="宋体" w:eastAsia="宋体" w:cs="宋体"/>
                <w:color w:val="000000"/>
                <w:spacing w:val="-2"/>
                <w:sz w:val="21"/>
                <w:szCs w:val="21"/>
                <w:lang w:eastAsia="zh-CN"/>
              </w:rPr>
              <w:t>前盘</w:t>
            </w:r>
            <w:r>
              <w:rPr>
                <w:rFonts w:hint="eastAsia" w:ascii="宋体" w:hAnsi="宋体" w:eastAsia="宋体" w:cs="宋体"/>
                <w:color w:val="000000"/>
                <w:sz w:val="21"/>
                <w:szCs w:val="21"/>
                <w:lang w:eastAsia="zh-CN"/>
              </w:rPr>
              <w:t>口情</w:t>
            </w:r>
            <w:r>
              <w:rPr>
                <w:rFonts w:hint="eastAsia" w:ascii="宋体" w:hAnsi="宋体" w:eastAsia="宋体" w:cs="宋体"/>
                <w:color w:val="000000"/>
                <w:spacing w:val="-2"/>
                <w:sz w:val="21"/>
                <w:szCs w:val="21"/>
                <w:lang w:eastAsia="zh-CN"/>
              </w:rPr>
              <w:t>况</w:t>
            </w:r>
            <w:r>
              <w:rPr>
                <w:rFonts w:hint="eastAsia" w:ascii="宋体" w:hAnsi="宋体" w:eastAsia="宋体" w:cs="宋体"/>
                <w:color w:val="000000"/>
                <w:sz w:val="21"/>
                <w:szCs w:val="21"/>
                <w:lang w:eastAsia="zh-CN"/>
              </w:rPr>
              <w:t>可以完全</w:t>
            </w:r>
            <w:r>
              <w:rPr>
                <w:rFonts w:hint="eastAsia" w:ascii="宋体" w:hAnsi="宋体" w:eastAsia="宋体" w:cs="宋体"/>
                <w:color w:val="000000"/>
                <w:spacing w:val="-2"/>
                <w:sz w:val="21"/>
                <w:szCs w:val="21"/>
                <w:lang w:eastAsia="zh-CN"/>
              </w:rPr>
              <w:t>成</w:t>
            </w:r>
            <w:r>
              <w:rPr>
                <w:rFonts w:hint="eastAsia" w:ascii="宋体" w:hAnsi="宋体" w:eastAsia="宋体" w:cs="宋体"/>
                <w:color w:val="000000"/>
                <w:sz w:val="21"/>
                <w:szCs w:val="21"/>
                <w:lang w:eastAsia="zh-CN"/>
              </w:rPr>
              <w:t>交。</w:t>
            </w:r>
            <w:r>
              <w:rPr>
                <w:rFonts w:hint="eastAsia" w:ascii="宋体" w:hAnsi="宋体" w:eastAsia="宋体" w:cs="宋体"/>
                <w:color w:val="000000"/>
                <w:sz w:val="21"/>
                <w:szCs w:val="21"/>
                <w:lang w:val="en-US" w:eastAsia="zh-CN"/>
              </w:rPr>
              <w:t>如果</w:t>
            </w:r>
            <w:r>
              <w:rPr>
                <w:rFonts w:hint="eastAsia" w:ascii="宋体" w:hAnsi="宋体" w:eastAsia="宋体" w:cs="宋体"/>
                <w:color w:val="000000"/>
                <w:spacing w:val="-2"/>
                <w:sz w:val="21"/>
                <w:szCs w:val="21"/>
                <w:lang w:eastAsia="zh-CN"/>
              </w:rPr>
              <w:t>当</w:t>
            </w:r>
            <w:r>
              <w:rPr>
                <w:rFonts w:hint="eastAsia" w:ascii="宋体" w:hAnsi="宋体" w:eastAsia="宋体" w:cs="宋体"/>
                <w:color w:val="000000"/>
                <w:spacing w:val="-2"/>
                <w:sz w:val="21"/>
                <w:szCs w:val="21"/>
                <w:lang w:val="en-US" w:eastAsia="zh-CN"/>
              </w:rPr>
              <w:t>前</w:t>
            </w:r>
            <w:r>
              <w:rPr>
                <w:rFonts w:hint="eastAsia" w:ascii="宋体" w:hAnsi="宋体" w:eastAsia="宋体" w:cs="宋体"/>
                <w:color w:val="000000"/>
                <w:sz w:val="21"/>
                <w:szCs w:val="21"/>
                <w:lang w:eastAsia="zh-CN"/>
              </w:rPr>
              <w:t>5</w:t>
            </w:r>
            <w:r>
              <w:rPr>
                <w:rFonts w:hint="eastAsia" w:ascii="宋体" w:hAnsi="宋体" w:eastAsia="宋体" w:cs="宋体"/>
                <w:color w:val="000000"/>
                <w:spacing w:val="-2"/>
                <w:sz w:val="21"/>
                <w:szCs w:val="21"/>
                <w:lang w:eastAsia="zh-CN"/>
              </w:rPr>
              <w:t>档</w:t>
            </w:r>
            <w:r>
              <w:rPr>
                <w:rFonts w:hint="eastAsia" w:ascii="宋体" w:hAnsi="宋体" w:eastAsia="宋体" w:cs="宋体"/>
                <w:color w:val="000000"/>
                <w:sz w:val="21"/>
                <w:szCs w:val="21"/>
                <w:lang w:eastAsia="zh-CN"/>
              </w:rPr>
              <w:t>的盘</w:t>
            </w:r>
            <w:r>
              <w:rPr>
                <w:rFonts w:hint="eastAsia" w:ascii="宋体" w:hAnsi="宋体" w:eastAsia="宋体" w:cs="宋体"/>
                <w:color w:val="000000"/>
                <w:spacing w:val="-2"/>
                <w:sz w:val="21"/>
                <w:szCs w:val="21"/>
                <w:lang w:eastAsia="zh-CN"/>
              </w:rPr>
              <w:t>口</w:t>
            </w:r>
            <w:r>
              <w:rPr>
                <w:rFonts w:hint="eastAsia" w:ascii="宋体" w:hAnsi="宋体" w:eastAsia="宋体" w:cs="宋体"/>
                <w:color w:val="000000"/>
                <w:sz w:val="21"/>
                <w:szCs w:val="21"/>
                <w:lang w:eastAsia="zh-CN"/>
              </w:rPr>
              <w:t>总</w:t>
            </w:r>
            <w:r>
              <w:rPr>
                <w:rFonts w:hint="eastAsia" w:ascii="宋体" w:hAnsi="宋体" w:eastAsia="宋体" w:cs="宋体"/>
                <w:color w:val="000000"/>
                <w:spacing w:val="-2"/>
                <w:sz w:val="21"/>
                <w:szCs w:val="21"/>
                <w:lang w:eastAsia="zh-CN"/>
              </w:rPr>
              <w:t>量</w:t>
            </w:r>
            <w:r>
              <w:rPr>
                <w:rFonts w:hint="eastAsia" w:ascii="宋体" w:hAnsi="宋体" w:eastAsia="宋体" w:cs="宋体"/>
                <w:color w:val="000000"/>
                <w:sz w:val="21"/>
                <w:szCs w:val="21"/>
                <w:lang w:eastAsia="zh-CN"/>
              </w:rPr>
              <w:t>小</w:t>
            </w:r>
            <w:r>
              <w:rPr>
                <w:rFonts w:hint="eastAsia" w:ascii="宋体" w:hAnsi="宋体" w:eastAsia="宋体" w:cs="宋体"/>
                <w:color w:val="000000"/>
                <w:spacing w:val="-2"/>
                <w:sz w:val="21"/>
                <w:szCs w:val="21"/>
                <w:lang w:eastAsia="zh-CN"/>
              </w:rPr>
              <w:t>于</w:t>
            </w:r>
            <w:r>
              <w:rPr>
                <w:rFonts w:hint="eastAsia" w:ascii="宋体" w:hAnsi="宋体" w:eastAsia="宋体" w:cs="宋体"/>
                <w:color w:val="000000"/>
                <w:sz w:val="21"/>
                <w:szCs w:val="21"/>
                <w:lang w:eastAsia="zh-CN"/>
              </w:rPr>
              <w:t>委</w:t>
            </w:r>
            <w:r>
              <w:rPr>
                <w:rFonts w:hint="eastAsia" w:ascii="宋体" w:hAnsi="宋体" w:eastAsia="宋体" w:cs="宋体"/>
                <w:color w:val="000000"/>
                <w:spacing w:val="-2"/>
                <w:sz w:val="21"/>
                <w:szCs w:val="21"/>
                <w:lang w:eastAsia="zh-CN"/>
              </w:rPr>
              <w:t>托</w:t>
            </w:r>
            <w:r>
              <w:rPr>
                <w:rFonts w:hint="eastAsia" w:ascii="宋体" w:hAnsi="宋体" w:eastAsia="宋体" w:cs="宋体"/>
                <w:color w:val="000000"/>
                <w:sz w:val="21"/>
                <w:szCs w:val="21"/>
                <w:lang w:eastAsia="zh-CN"/>
              </w:rPr>
              <w:t>数</w:t>
            </w:r>
            <w:r>
              <w:rPr>
                <w:rFonts w:hint="eastAsia" w:ascii="宋体" w:hAnsi="宋体" w:eastAsia="宋体" w:cs="宋体"/>
                <w:color w:val="000000"/>
                <w:spacing w:val="-2"/>
                <w:sz w:val="21"/>
                <w:szCs w:val="21"/>
                <w:lang w:eastAsia="zh-CN"/>
              </w:rPr>
              <w:t>量</w:t>
            </w:r>
            <w:r>
              <w:rPr>
                <w:rFonts w:hint="eastAsia" w:ascii="宋体" w:hAnsi="宋体" w:eastAsia="宋体" w:cs="宋体"/>
                <w:color w:val="000000"/>
                <w:sz w:val="21"/>
                <w:szCs w:val="21"/>
                <w:lang w:eastAsia="zh-CN"/>
              </w:rPr>
              <w:t>时</w:t>
            </w:r>
            <w:r>
              <w:rPr>
                <w:rFonts w:hint="eastAsia" w:ascii="宋体" w:hAnsi="宋体" w:eastAsia="宋体" w:cs="宋体"/>
                <w:color w:val="000000"/>
                <w:spacing w:val="-76"/>
                <w:sz w:val="21"/>
                <w:szCs w:val="21"/>
                <w:lang w:eastAsia="zh-CN"/>
              </w:rPr>
              <w:t>，</w:t>
            </w:r>
            <w:r>
              <w:rPr>
                <w:rFonts w:hint="eastAsia" w:ascii="宋体" w:hAnsi="宋体" w:eastAsia="宋体" w:cs="宋体"/>
                <w:color w:val="000000"/>
                <w:spacing w:val="-2"/>
                <w:sz w:val="21"/>
                <w:szCs w:val="21"/>
                <w:lang w:eastAsia="zh-CN"/>
              </w:rPr>
              <w:t>则</w:t>
            </w:r>
            <w:r>
              <w:rPr>
                <w:rFonts w:hint="eastAsia" w:ascii="宋体" w:hAnsi="宋体" w:eastAsia="宋体" w:cs="宋体"/>
                <w:color w:val="000000"/>
                <w:sz w:val="21"/>
                <w:szCs w:val="21"/>
                <w:lang w:eastAsia="zh-CN"/>
              </w:rPr>
              <w:t>取第 5</w:t>
            </w:r>
            <w:r>
              <w:rPr>
                <w:rFonts w:hint="eastAsia" w:ascii="宋体" w:hAnsi="宋体" w:eastAsia="宋体" w:cs="宋体"/>
                <w:color w:val="000000"/>
                <w:spacing w:val="-2"/>
                <w:sz w:val="21"/>
                <w:szCs w:val="21"/>
                <w:lang w:eastAsia="zh-CN"/>
              </w:rPr>
              <w:t>档</w:t>
            </w:r>
            <w:r>
              <w:rPr>
                <w:rFonts w:hint="eastAsia" w:ascii="宋体" w:hAnsi="宋体" w:eastAsia="宋体" w:cs="宋体"/>
                <w:color w:val="000000"/>
                <w:sz w:val="21"/>
                <w:szCs w:val="21"/>
                <w:lang w:eastAsia="zh-CN"/>
              </w:rPr>
              <w:t>价</w:t>
            </w:r>
            <w:r>
              <w:rPr>
                <w:rFonts w:hint="eastAsia" w:ascii="宋体" w:hAnsi="宋体" w:eastAsia="宋体" w:cs="宋体"/>
                <w:color w:val="000000"/>
                <w:spacing w:val="-2"/>
                <w:sz w:val="21"/>
                <w:szCs w:val="21"/>
                <w:lang w:eastAsia="zh-CN"/>
              </w:rPr>
              <w:t>格。</w:t>
            </w:r>
            <w:r>
              <w:rPr>
                <w:rFonts w:hint="eastAsia" w:ascii="宋体" w:hAnsi="宋体" w:eastAsia="宋体" w:cs="宋体"/>
                <w:color w:val="000000"/>
                <w:sz w:val="21"/>
                <w:szCs w:val="21"/>
                <w:lang w:eastAsia="zh-CN"/>
              </w:rPr>
              <w:t xml:space="preserve">  </w:t>
            </w:r>
          </w:p>
        </w:tc>
      </w:tr>
    </w:tbl>
    <w:p w14:paraId="6DD304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双击委托列表中可撤的订单，二次确认后可撤销双击的订单。</w:t>
      </w:r>
    </w:p>
    <w:p w14:paraId="1BEF764F">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成交明细</w:t>
      </w:r>
    </w:p>
    <w:p w14:paraId="17244A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支持查询当前用户关联的所有普通账户的成交明细，支持对成交数据按资产账号、证券代码、交易员等条件进行过滤。</w:t>
      </w:r>
    </w:p>
    <w:p w14:paraId="37B951F0">
      <w:pPr>
        <w:numPr>
          <w:ilvl w:val="0"/>
          <w:numId w:val="0"/>
        </w:numPr>
        <w:ind w:leftChars="0"/>
        <w:jc w:val="left"/>
        <w:rPr>
          <w:rFonts w:hint="eastAsia" w:ascii="宋体" w:hAnsi="宋体" w:eastAsia="宋体" w:cs="宋体"/>
          <w:color w:val="000000"/>
          <w:spacing w:val="-2"/>
          <w:sz w:val="21"/>
          <w:szCs w:val="21"/>
          <w:lang w:val="en-US" w:eastAsia="zh-CN"/>
        </w:rPr>
      </w:pPr>
      <w:r>
        <w:rPr>
          <w:rFonts w:hint="eastAsia" w:ascii="宋体" w:hAnsi="宋体" w:eastAsia="宋体" w:cs="宋体"/>
        </w:rPr>
        <w:drawing>
          <wp:inline distT="0" distB="0" distL="114300" distR="114300">
            <wp:extent cx="5262880" cy="1113155"/>
            <wp:effectExtent l="0" t="0" r="13970" b="10795"/>
            <wp:docPr id="1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6"/>
                    <pic:cNvPicPr>
                      <a:picLocks noChangeAspect="1"/>
                    </pic:cNvPicPr>
                  </pic:nvPicPr>
                  <pic:blipFill>
                    <a:blip r:embed="rId26"/>
                    <a:stretch>
                      <a:fillRect/>
                    </a:stretch>
                  </pic:blipFill>
                  <pic:spPr>
                    <a:xfrm>
                      <a:off x="0" y="0"/>
                      <a:ext cx="5262880" cy="1113155"/>
                    </a:xfrm>
                    <a:prstGeom prst="rect">
                      <a:avLst/>
                    </a:prstGeom>
                    <a:noFill/>
                    <a:ln>
                      <a:noFill/>
                    </a:ln>
                  </pic:spPr>
                </pic:pic>
              </a:graphicData>
            </a:graphic>
          </wp:inline>
        </w:drawing>
      </w:r>
    </w:p>
    <w:p w14:paraId="426A43A7">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17" w:name="_Toc27600"/>
      <w:r>
        <w:rPr>
          <w:rFonts w:hint="eastAsia" w:ascii="宋体" w:hAnsi="宋体" w:eastAsia="宋体" w:cs="宋体"/>
          <w:sz w:val="28"/>
          <w:szCs w:val="28"/>
          <w:lang w:val="en-US" w:eastAsia="zh-CN"/>
        </w:rPr>
        <w:t>增强交易</w:t>
      </w:r>
      <w:bookmarkEnd w:id="17"/>
    </w:p>
    <w:p w14:paraId="4A9365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highlight w:val="none"/>
          <w:lang w:val="en-US" w:eastAsia="zh-CN"/>
        </w:rPr>
        <w:t>增强交易模块支持的交易品种与普通交易一致，即上交所、深交所上市的9只ETF标的。该模块包含：行情面板、增强交易下单组件、委托列表、成交列表、持仓列表和账户资产列</w:t>
      </w:r>
      <w:r>
        <w:rPr>
          <w:rFonts w:hint="eastAsia" w:ascii="宋体" w:hAnsi="宋体" w:eastAsia="宋体" w:cs="宋体"/>
          <w:lang w:val="en-US" w:eastAsia="zh-CN"/>
        </w:rPr>
        <w:t>表。不同组件支持拖动、放大缩小和伸缩，可自由布置组件布局。</w:t>
      </w:r>
    </w:p>
    <w:p w14:paraId="630BA015">
      <w:pPr>
        <w:rPr>
          <w:rFonts w:hint="eastAsia" w:ascii="宋体" w:hAnsi="宋体" w:eastAsia="宋体" w:cs="宋体"/>
        </w:rPr>
      </w:pPr>
      <w:r>
        <w:rPr>
          <w:rFonts w:hint="eastAsia" w:ascii="宋体" w:hAnsi="宋体" w:eastAsia="宋体" w:cs="宋体"/>
        </w:rPr>
        <w:drawing>
          <wp:inline distT="0" distB="0" distL="114300" distR="114300">
            <wp:extent cx="5266690" cy="2668905"/>
            <wp:effectExtent l="0" t="0" r="0" b="0"/>
            <wp:docPr id="1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7"/>
                    <pic:cNvPicPr>
                      <a:picLocks noChangeAspect="1"/>
                    </pic:cNvPicPr>
                  </pic:nvPicPr>
                  <pic:blipFill>
                    <a:blip r:embed="rId27"/>
                    <a:srcRect t="6454"/>
                    <a:stretch>
                      <a:fillRect/>
                    </a:stretch>
                  </pic:blipFill>
                  <pic:spPr>
                    <a:xfrm>
                      <a:off x="0" y="0"/>
                      <a:ext cx="5266690" cy="2668905"/>
                    </a:xfrm>
                    <a:prstGeom prst="rect">
                      <a:avLst/>
                    </a:prstGeom>
                    <a:noFill/>
                    <a:ln>
                      <a:noFill/>
                    </a:ln>
                  </pic:spPr>
                </pic:pic>
              </a:graphicData>
            </a:graphic>
          </wp:inline>
        </w:drawing>
      </w:r>
    </w:p>
    <w:p w14:paraId="30D5359C">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行情组件</w:t>
      </w:r>
    </w:p>
    <w:p w14:paraId="1C7735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支持Level 2行情，包括十档盘口、标的静态行情信息（包括昨收价、开盘价、涨跌停价、最高价、最低价）。</w:t>
      </w:r>
    </w:p>
    <w:p w14:paraId="455B431C">
      <w:pPr>
        <w:jc w:val="center"/>
        <w:rPr>
          <w:rFonts w:hint="eastAsia" w:ascii="宋体" w:hAnsi="宋体" w:eastAsia="宋体" w:cs="宋体"/>
        </w:rPr>
      </w:pPr>
      <w:r>
        <w:rPr>
          <w:rFonts w:hint="eastAsia" w:ascii="宋体" w:hAnsi="宋体" w:eastAsia="宋体" w:cs="宋体"/>
        </w:rPr>
        <w:drawing>
          <wp:inline distT="0" distB="0" distL="114300" distR="114300">
            <wp:extent cx="2988310" cy="2750820"/>
            <wp:effectExtent l="0" t="0" r="2540" b="11430"/>
            <wp:docPr id="14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8"/>
                    <pic:cNvPicPr>
                      <a:picLocks noChangeAspect="1"/>
                    </pic:cNvPicPr>
                  </pic:nvPicPr>
                  <pic:blipFill>
                    <a:blip r:embed="rId28"/>
                    <a:stretch>
                      <a:fillRect/>
                    </a:stretch>
                  </pic:blipFill>
                  <pic:spPr>
                    <a:xfrm>
                      <a:off x="0" y="0"/>
                      <a:ext cx="2988310" cy="2750820"/>
                    </a:xfrm>
                    <a:prstGeom prst="rect">
                      <a:avLst/>
                    </a:prstGeom>
                    <a:noFill/>
                    <a:ln>
                      <a:noFill/>
                    </a:ln>
                  </pic:spPr>
                </pic:pic>
              </a:graphicData>
            </a:graphic>
          </wp:inline>
        </w:drawing>
      </w:r>
    </w:p>
    <w:p w14:paraId="53225AD7">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增强交易面板</w:t>
      </w:r>
    </w:p>
    <w:p w14:paraId="455F6C44">
      <w:pPr>
        <w:jc w:val="left"/>
        <w:rPr>
          <w:rFonts w:hint="eastAsia" w:ascii="宋体" w:hAnsi="宋体" w:eastAsia="宋体" w:cs="宋体"/>
        </w:rPr>
      </w:pPr>
      <w:r>
        <w:rPr>
          <w:rFonts w:hint="eastAsia" w:ascii="宋体" w:hAnsi="宋体" w:eastAsia="宋体" w:cs="宋体"/>
        </w:rPr>
        <w:drawing>
          <wp:inline distT="0" distB="0" distL="114300" distR="114300">
            <wp:extent cx="5267960" cy="2452370"/>
            <wp:effectExtent l="0" t="0" r="8890" b="5080"/>
            <wp:docPr id="15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9"/>
                    <pic:cNvPicPr>
                      <a:picLocks noChangeAspect="1"/>
                    </pic:cNvPicPr>
                  </pic:nvPicPr>
                  <pic:blipFill>
                    <a:blip r:embed="rId29"/>
                    <a:stretch>
                      <a:fillRect/>
                    </a:stretch>
                  </pic:blipFill>
                  <pic:spPr>
                    <a:xfrm>
                      <a:off x="0" y="0"/>
                      <a:ext cx="5267960" cy="2452370"/>
                    </a:xfrm>
                    <a:prstGeom prst="rect">
                      <a:avLst/>
                    </a:prstGeom>
                    <a:noFill/>
                    <a:ln>
                      <a:noFill/>
                    </a:ln>
                  </pic:spPr>
                </pic:pic>
              </a:graphicData>
            </a:graphic>
          </wp:inline>
        </w:drawing>
      </w:r>
    </w:p>
    <w:p w14:paraId="09BE25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下单面板各字段说明如下：</w:t>
      </w:r>
    </w:p>
    <w:tbl>
      <w:tblPr>
        <w:tblStyle w:val="20"/>
        <w:tblpPr w:vertAnchor="text" w:horzAnchor="page" w:tblpX="1827" w:tblpY="344"/>
        <w:tblOverlap w:val="never"/>
        <w:tblW w:w="82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16"/>
        <w:gridCol w:w="6162"/>
      </w:tblGrid>
      <w:tr w14:paraId="09B90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2116" w:type="dxa"/>
          </w:tcPr>
          <w:p w14:paraId="1C95829E">
            <w:pPr>
              <w:ind w:firstLine="112"/>
              <w:jc w:val="center"/>
              <w:rPr>
                <w:rFonts w:hint="eastAsia" w:ascii="宋体" w:hAnsi="宋体" w:eastAsia="宋体" w:cs="宋体"/>
                <w:b/>
                <w:bCs/>
                <w:color w:val="010302"/>
              </w:rPr>
            </w:pPr>
            <w:r>
              <w:rPr>
                <w:rFonts w:hint="eastAsia" w:ascii="宋体" w:hAnsi="宋体" w:eastAsia="宋体" w:cs="宋体"/>
                <w:b/>
                <w:bCs/>
                <w:color w:val="000000"/>
                <w:sz w:val="21"/>
                <w:szCs w:val="21"/>
              </w:rPr>
              <w:t>字段</w:t>
            </w:r>
            <w:r>
              <w:rPr>
                <w:rFonts w:hint="eastAsia" w:ascii="宋体" w:hAnsi="宋体" w:eastAsia="宋体" w:cs="宋体"/>
                <w:b/>
                <w:bCs/>
                <w:color w:val="000000"/>
                <w:spacing w:val="-2"/>
                <w:sz w:val="21"/>
                <w:szCs w:val="21"/>
              </w:rPr>
              <w:t>名</w:t>
            </w:r>
          </w:p>
        </w:tc>
        <w:tc>
          <w:tcPr>
            <w:tcW w:w="6162" w:type="dxa"/>
          </w:tcPr>
          <w:p w14:paraId="16E04705">
            <w:pPr>
              <w:ind w:firstLine="113"/>
              <w:jc w:val="center"/>
              <w:rPr>
                <w:rFonts w:hint="eastAsia" w:ascii="宋体" w:hAnsi="宋体" w:eastAsia="宋体" w:cs="宋体"/>
                <w:b/>
                <w:bCs/>
                <w:color w:val="010302"/>
              </w:rPr>
            </w:pPr>
            <w:r>
              <w:rPr>
                <w:rFonts w:hint="eastAsia" w:ascii="宋体" w:hAnsi="宋体" w:eastAsia="宋体" w:cs="宋体"/>
                <w:b/>
                <w:bCs/>
                <w:color w:val="000000"/>
                <w:sz w:val="21"/>
                <w:szCs w:val="21"/>
              </w:rPr>
              <w:t>字段</w:t>
            </w:r>
            <w:r>
              <w:rPr>
                <w:rFonts w:hint="eastAsia" w:ascii="宋体" w:hAnsi="宋体" w:eastAsia="宋体" w:cs="宋体"/>
                <w:b/>
                <w:bCs/>
                <w:color w:val="000000"/>
                <w:spacing w:val="-2"/>
                <w:sz w:val="21"/>
                <w:szCs w:val="21"/>
              </w:rPr>
              <w:t>说明</w:t>
            </w:r>
          </w:p>
        </w:tc>
      </w:tr>
      <w:tr w14:paraId="1E707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2116" w:type="dxa"/>
            <w:vAlign w:val="center"/>
          </w:tcPr>
          <w:p w14:paraId="2F2E474F">
            <w:pPr>
              <w:ind w:firstLine="112"/>
              <w:jc w:val="center"/>
              <w:rPr>
                <w:rFonts w:hint="eastAsia" w:ascii="宋体" w:hAnsi="宋体" w:eastAsia="宋体" w:cs="宋体"/>
                <w:color w:val="010302"/>
              </w:rPr>
            </w:pPr>
            <w:r>
              <w:rPr>
                <w:rFonts w:hint="eastAsia" w:ascii="宋体" w:hAnsi="宋体" w:eastAsia="宋体" w:cs="宋体"/>
                <w:color w:val="000000"/>
                <w:sz w:val="21"/>
                <w:szCs w:val="21"/>
              </w:rPr>
              <w:t>证券</w:t>
            </w:r>
            <w:r>
              <w:rPr>
                <w:rFonts w:hint="eastAsia" w:ascii="宋体" w:hAnsi="宋体" w:eastAsia="宋体" w:cs="宋体"/>
                <w:color w:val="000000"/>
                <w:spacing w:val="-2"/>
                <w:sz w:val="21"/>
                <w:szCs w:val="21"/>
              </w:rPr>
              <w:t>代码</w:t>
            </w:r>
          </w:p>
        </w:tc>
        <w:tc>
          <w:tcPr>
            <w:tcW w:w="6162" w:type="dxa"/>
          </w:tcPr>
          <w:p w14:paraId="56DB0DAD">
            <w:pPr>
              <w:rPr>
                <w:rFonts w:hint="eastAsia" w:ascii="宋体" w:hAnsi="宋体" w:eastAsia="宋体" w:cs="宋体"/>
                <w:color w:val="010302"/>
                <w:lang w:val="en-US" w:eastAsia="zh-CN"/>
              </w:rPr>
            </w:pPr>
            <w:r>
              <w:rPr>
                <w:rFonts w:hint="eastAsia" w:ascii="宋体" w:hAnsi="宋体" w:eastAsia="宋体" w:cs="宋体"/>
                <w:color w:val="000000"/>
                <w:sz w:val="21"/>
                <w:szCs w:val="21"/>
                <w:lang w:eastAsia="zh-CN"/>
              </w:rPr>
              <w:t>支持</w:t>
            </w:r>
            <w:r>
              <w:rPr>
                <w:rFonts w:hint="eastAsia" w:ascii="宋体" w:hAnsi="宋体" w:eastAsia="宋体" w:cs="宋体"/>
                <w:color w:val="000000"/>
                <w:spacing w:val="-2"/>
                <w:sz w:val="21"/>
                <w:szCs w:val="21"/>
                <w:lang w:eastAsia="zh-CN"/>
              </w:rPr>
              <w:t>上</w:t>
            </w:r>
            <w:r>
              <w:rPr>
                <w:rFonts w:hint="eastAsia" w:ascii="宋体" w:hAnsi="宋体" w:eastAsia="宋体" w:cs="宋体"/>
                <w:color w:val="000000"/>
                <w:sz w:val="21"/>
                <w:szCs w:val="21"/>
                <w:lang w:eastAsia="zh-CN"/>
              </w:rPr>
              <w:t>交</w:t>
            </w:r>
            <w:r>
              <w:rPr>
                <w:rFonts w:hint="eastAsia" w:ascii="宋体" w:hAnsi="宋体" w:eastAsia="宋体" w:cs="宋体"/>
                <w:color w:val="000000"/>
                <w:spacing w:val="-2"/>
                <w:sz w:val="21"/>
                <w:szCs w:val="21"/>
                <w:lang w:eastAsia="zh-CN"/>
              </w:rPr>
              <w:t>所</w:t>
            </w:r>
            <w:r>
              <w:rPr>
                <w:rFonts w:hint="eastAsia" w:ascii="宋体" w:hAnsi="宋体" w:eastAsia="宋体" w:cs="宋体"/>
                <w:color w:val="000000"/>
                <w:sz w:val="21"/>
                <w:szCs w:val="21"/>
                <w:lang w:eastAsia="zh-CN"/>
              </w:rPr>
              <w:t>、</w:t>
            </w:r>
            <w:r>
              <w:rPr>
                <w:rFonts w:hint="eastAsia" w:ascii="宋体" w:hAnsi="宋体" w:eastAsia="宋体" w:cs="宋体"/>
                <w:color w:val="000000"/>
                <w:spacing w:val="-2"/>
                <w:sz w:val="21"/>
                <w:szCs w:val="21"/>
                <w:lang w:eastAsia="zh-CN"/>
              </w:rPr>
              <w:t>深</w:t>
            </w:r>
            <w:r>
              <w:rPr>
                <w:rFonts w:hint="eastAsia" w:ascii="宋体" w:hAnsi="宋体" w:eastAsia="宋体" w:cs="宋体"/>
                <w:color w:val="000000"/>
                <w:sz w:val="21"/>
                <w:szCs w:val="21"/>
                <w:lang w:eastAsia="zh-CN"/>
              </w:rPr>
              <w:t>交</w:t>
            </w:r>
            <w:r>
              <w:rPr>
                <w:rFonts w:hint="eastAsia" w:ascii="宋体" w:hAnsi="宋体" w:eastAsia="宋体" w:cs="宋体"/>
                <w:color w:val="000000"/>
                <w:spacing w:val="-2"/>
                <w:sz w:val="21"/>
                <w:szCs w:val="21"/>
                <w:lang w:eastAsia="zh-CN"/>
              </w:rPr>
              <w:t>所</w:t>
            </w:r>
            <w:r>
              <w:rPr>
                <w:rFonts w:hint="eastAsia" w:ascii="宋体" w:hAnsi="宋体" w:eastAsia="宋体" w:cs="宋体"/>
                <w:color w:val="000000"/>
                <w:sz w:val="21"/>
                <w:szCs w:val="21"/>
                <w:lang w:eastAsia="zh-CN"/>
              </w:rPr>
              <w:t>ETF基</w:t>
            </w:r>
            <w:r>
              <w:rPr>
                <w:rFonts w:hint="eastAsia" w:ascii="宋体" w:hAnsi="宋体" w:eastAsia="宋体" w:cs="宋体"/>
                <w:color w:val="000000"/>
                <w:spacing w:val="-2"/>
                <w:sz w:val="21"/>
                <w:szCs w:val="21"/>
                <w:lang w:eastAsia="zh-CN"/>
              </w:rPr>
              <w:t>金</w:t>
            </w:r>
            <w:r>
              <w:rPr>
                <w:rFonts w:hint="eastAsia" w:ascii="宋体" w:hAnsi="宋体" w:eastAsia="宋体" w:cs="宋体"/>
                <w:color w:val="000000"/>
                <w:sz w:val="21"/>
                <w:szCs w:val="21"/>
                <w:lang w:eastAsia="zh-CN"/>
              </w:rPr>
              <w:t>代</w:t>
            </w:r>
            <w:r>
              <w:rPr>
                <w:rFonts w:hint="eastAsia" w:ascii="宋体" w:hAnsi="宋体" w:eastAsia="宋体" w:cs="宋体"/>
                <w:color w:val="000000"/>
                <w:spacing w:val="-2"/>
                <w:sz w:val="21"/>
                <w:szCs w:val="21"/>
                <w:lang w:eastAsia="zh-CN"/>
              </w:rPr>
              <w:t>码</w:t>
            </w:r>
            <w:r>
              <w:rPr>
                <w:rFonts w:hint="eastAsia" w:ascii="宋体" w:hAnsi="宋体" w:eastAsia="宋体" w:cs="宋体"/>
                <w:color w:val="000000"/>
                <w:sz w:val="21"/>
                <w:szCs w:val="21"/>
                <w:lang w:eastAsia="zh-CN"/>
              </w:rPr>
              <w:t xml:space="preserve"> ，</w:t>
            </w:r>
            <w:r>
              <w:rPr>
                <w:rFonts w:hint="eastAsia" w:ascii="宋体" w:hAnsi="宋体" w:eastAsia="宋体" w:cs="宋体"/>
                <w:color w:val="000000"/>
                <w:sz w:val="21"/>
                <w:szCs w:val="21"/>
                <w:lang w:val="en-US" w:eastAsia="zh-CN"/>
              </w:rPr>
              <w:t>支持模糊匹配输入内容。输入代码后，展示对应的基金名称</w:t>
            </w:r>
          </w:p>
        </w:tc>
      </w:tr>
      <w:tr w14:paraId="232AF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2116" w:type="dxa"/>
            <w:vAlign w:val="center"/>
          </w:tcPr>
          <w:p w14:paraId="557C0669">
            <w:pPr>
              <w:spacing w:before="19"/>
              <w:ind w:firstLine="112"/>
              <w:jc w:val="center"/>
              <w:rPr>
                <w:rFonts w:hint="eastAsia" w:ascii="宋体" w:hAnsi="宋体" w:eastAsia="宋体" w:cs="宋体"/>
                <w:color w:val="010302"/>
              </w:rPr>
            </w:pPr>
            <w:r>
              <w:rPr>
                <w:rFonts w:hint="eastAsia" w:ascii="宋体" w:hAnsi="宋体" w:eastAsia="宋体" w:cs="宋体"/>
                <w:color w:val="000000"/>
                <w:sz w:val="21"/>
                <w:szCs w:val="21"/>
              </w:rPr>
              <w:t>委托</w:t>
            </w:r>
            <w:r>
              <w:rPr>
                <w:rFonts w:hint="eastAsia" w:ascii="宋体" w:hAnsi="宋体" w:eastAsia="宋体" w:cs="宋体"/>
                <w:color w:val="000000"/>
                <w:spacing w:val="-2"/>
                <w:sz w:val="21"/>
                <w:szCs w:val="21"/>
              </w:rPr>
              <w:t>方向</w:t>
            </w:r>
          </w:p>
        </w:tc>
        <w:tc>
          <w:tcPr>
            <w:tcW w:w="6162" w:type="dxa"/>
          </w:tcPr>
          <w:p w14:paraId="7705F82B">
            <w:pPr>
              <w:spacing w:before="19"/>
              <w:rPr>
                <w:rFonts w:hint="eastAsia" w:ascii="宋体" w:hAnsi="宋体" w:eastAsia="宋体" w:cs="宋体"/>
                <w:color w:val="010302"/>
                <w:lang w:eastAsia="zh-CN"/>
              </w:rPr>
            </w:pPr>
            <w:r>
              <w:rPr>
                <w:rFonts w:hint="eastAsia" w:ascii="宋体" w:hAnsi="宋体" w:eastAsia="宋体" w:cs="宋体"/>
                <w:color w:val="000000"/>
                <w:sz w:val="21"/>
                <w:szCs w:val="21"/>
                <w:lang w:eastAsia="zh-CN"/>
              </w:rPr>
              <w:t>支持</w:t>
            </w:r>
            <w:r>
              <w:rPr>
                <w:rFonts w:hint="eastAsia" w:ascii="宋体" w:hAnsi="宋体" w:eastAsia="宋体" w:cs="宋体"/>
                <w:color w:val="000000"/>
                <w:spacing w:val="-2"/>
                <w:sz w:val="21"/>
                <w:szCs w:val="21"/>
                <w:lang w:eastAsia="zh-CN"/>
              </w:rPr>
              <w:t>买</w:t>
            </w:r>
            <w:r>
              <w:rPr>
                <w:rFonts w:hint="eastAsia" w:ascii="宋体" w:hAnsi="宋体" w:eastAsia="宋体" w:cs="宋体"/>
                <w:color w:val="000000"/>
                <w:sz w:val="21"/>
                <w:szCs w:val="21"/>
                <w:lang w:eastAsia="zh-CN"/>
              </w:rPr>
              <w:t>入</w:t>
            </w:r>
            <w:r>
              <w:rPr>
                <w:rFonts w:hint="eastAsia" w:ascii="宋体" w:hAnsi="宋体" w:eastAsia="宋体" w:cs="宋体"/>
                <w:color w:val="000000"/>
                <w:spacing w:val="-2"/>
                <w:sz w:val="21"/>
                <w:szCs w:val="21"/>
                <w:lang w:eastAsia="zh-CN"/>
              </w:rPr>
              <w:t>、</w:t>
            </w:r>
            <w:r>
              <w:rPr>
                <w:rFonts w:hint="eastAsia" w:ascii="宋体" w:hAnsi="宋体" w:eastAsia="宋体" w:cs="宋体"/>
                <w:color w:val="000000"/>
                <w:sz w:val="21"/>
                <w:szCs w:val="21"/>
                <w:lang w:eastAsia="zh-CN"/>
              </w:rPr>
              <w:t>卖</w:t>
            </w:r>
            <w:r>
              <w:rPr>
                <w:rFonts w:hint="eastAsia" w:ascii="宋体" w:hAnsi="宋体" w:eastAsia="宋体" w:cs="宋体"/>
                <w:color w:val="000000"/>
                <w:spacing w:val="-2"/>
                <w:sz w:val="21"/>
                <w:szCs w:val="21"/>
                <w:lang w:eastAsia="zh-CN"/>
              </w:rPr>
              <w:t>出</w:t>
            </w:r>
            <w:r>
              <w:rPr>
                <w:rFonts w:hint="eastAsia" w:ascii="宋体" w:hAnsi="宋体" w:eastAsia="宋体" w:cs="宋体"/>
                <w:color w:val="000000"/>
                <w:sz w:val="21"/>
                <w:szCs w:val="21"/>
                <w:lang w:eastAsia="zh-CN"/>
              </w:rPr>
              <w:t xml:space="preserve">  </w:t>
            </w:r>
          </w:p>
        </w:tc>
      </w:tr>
      <w:tr w14:paraId="743C9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2116" w:type="dxa"/>
            <w:vAlign w:val="center"/>
          </w:tcPr>
          <w:p w14:paraId="0A3C2ADF">
            <w:pPr>
              <w:spacing w:before="16"/>
              <w:ind w:firstLine="112"/>
              <w:jc w:val="center"/>
              <w:rPr>
                <w:rFonts w:hint="eastAsia" w:ascii="宋体" w:hAnsi="宋体" w:eastAsia="宋体" w:cs="宋体"/>
                <w:color w:val="010302"/>
              </w:rPr>
            </w:pPr>
            <w:r>
              <w:rPr>
                <w:rFonts w:hint="eastAsia" w:ascii="宋体" w:hAnsi="宋体" w:eastAsia="宋体" w:cs="宋体"/>
                <w:color w:val="000000"/>
                <w:sz w:val="21"/>
                <w:szCs w:val="21"/>
              </w:rPr>
              <w:t>报价</w:t>
            </w:r>
            <w:r>
              <w:rPr>
                <w:rFonts w:hint="eastAsia" w:ascii="宋体" w:hAnsi="宋体" w:eastAsia="宋体" w:cs="宋体"/>
                <w:color w:val="000000"/>
                <w:spacing w:val="-2"/>
                <w:sz w:val="21"/>
                <w:szCs w:val="21"/>
              </w:rPr>
              <w:t>类型</w:t>
            </w:r>
          </w:p>
        </w:tc>
        <w:tc>
          <w:tcPr>
            <w:tcW w:w="6162" w:type="dxa"/>
          </w:tcPr>
          <w:p w14:paraId="322BE06E">
            <w:pPr>
              <w:spacing w:before="16"/>
              <w:rPr>
                <w:rFonts w:hint="eastAsia" w:ascii="宋体" w:hAnsi="宋体" w:eastAsia="宋体" w:cs="宋体"/>
                <w:color w:val="000000"/>
                <w:spacing w:val="-7"/>
                <w:sz w:val="21"/>
                <w:szCs w:val="21"/>
                <w:lang w:val="en-US" w:eastAsia="zh-CN"/>
              </w:rPr>
            </w:pPr>
            <w:r>
              <w:rPr>
                <w:rFonts w:hint="eastAsia" w:ascii="宋体" w:hAnsi="宋体" w:eastAsia="宋体" w:cs="宋体"/>
                <w:color w:val="000000"/>
                <w:sz w:val="21"/>
                <w:szCs w:val="21"/>
                <w:lang w:val="en-US" w:eastAsia="zh-CN"/>
              </w:rPr>
              <w:t>下拉选择框，包括：</w:t>
            </w:r>
            <w:r>
              <w:rPr>
                <w:rFonts w:hint="eastAsia" w:ascii="宋体" w:hAnsi="宋体" w:eastAsia="宋体" w:cs="宋体"/>
                <w:color w:val="000000"/>
                <w:sz w:val="21"/>
                <w:szCs w:val="21"/>
                <w:lang w:eastAsia="zh-CN"/>
              </w:rPr>
              <w:t>限价</w:t>
            </w:r>
            <w:r>
              <w:rPr>
                <w:rFonts w:hint="eastAsia" w:ascii="宋体" w:hAnsi="宋体" w:eastAsia="宋体" w:cs="宋体"/>
                <w:color w:val="000000"/>
                <w:spacing w:val="-9"/>
                <w:sz w:val="21"/>
                <w:szCs w:val="21"/>
                <w:lang w:eastAsia="zh-CN"/>
              </w:rPr>
              <w:t>，</w:t>
            </w:r>
            <w:r>
              <w:rPr>
                <w:rFonts w:hint="eastAsia" w:ascii="宋体" w:hAnsi="宋体" w:eastAsia="宋体" w:cs="宋体"/>
                <w:color w:val="000000"/>
                <w:sz w:val="21"/>
                <w:szCs w:val="21"/>
                <w:lang w:eastAsia="zh-CN"/>
              </w:rPr>
              <w:t>最</w:t>
            </w:r>
            <w:r>
              <w:rPr>
                <w:rFonts w:hint="eastAsia" w:ascii="宋体" w:hAnsi="宋体" w:eastAsia="宋体" w:cs="宋体"/>
                <w:color w:val="000000"/>
                <w:spacing w:val="-2"/>
                <w:sz w:val="21"/>
                <w:szCs w:val="21"/>
                <w:lang w:eastAsia="zh-CN"/>
              </w:rPr>
              <w:t>新</w:t>
            </w:r>
            <w:r>
              <w:rPr>
                <w:rFonts w:hint="eastAsia" w:ascii="宋体" w:hAnsi="宋体" w:eastAsia="宋体" w:cs="宋体"/>
                <w:color w:val="000000"/>
                <w:sz w:val="21"/>
                <w:szCs w:val="21"/>
                <w:lang w:eastAsia="zh-CN"/>
              </w:rPr>
              <w:t>价</w:t>
            </w:r>
            <w:r>
              <w:rPr>
                <w:rFonts w:hint="eastAsia" w:ascii="宋体" w:hAnsi="宋体" w:eastAsia="宋体" w:cs="宋体"/>
                <w:color w:val="000000"/>
                <w:spacing w:val="-9"/>
                <w:sz w:val="21"/>
                <w:szCs w:val="21"/>
                <w:lang w:eastAsia="zh-CN"/>
              </w:rPr>
              <w:t>，</w:t>
            </w:r>
            <w:r>
              <w:rPr>
                <w:rFonts w:hint="eastAsia" w:ascii="宋体" w:hAnsi="宋体" w:eastAsia="宋体" w:cs="宋体"/>
                <w:color w:val="000000"/>
                <w:sz w:val="21"/>
                <w:szCs w:val="21"/>
                <w:lang w:val="en-US" w:eastAsia="zh-CN"/>
              </w:rPr>
              <w:t>买一价</w:t>
            </w:r>
            <w:r>
              <w:rPr>
                <w:rFonts w:hint="eastAsia" w:ascii="宋体" w:hAnsi="宋体" w:eastAsia="宋体" w:cs="宋体"/>
                <w:color w:val="000000"/>
                <w:spacing w:val="-2"/>
                <w:sz w:val="21"/>
                <w:szCs w:val="21"/>
                <w:lang w:val="en-US" w:eastAsia="zh-CN"/>
              </w:rPr>
              <w:t>，卖一价，全额成交或撤，即成剩撤，五档即成剩撤，本方最优，对手方最优，</w:t>
            </w:r>
            <w:r>
              <w:rPr>
                <w:rFonts w:hint="eastAsia" w:ascii="宋体" w:hAnsi="宋体" w:eastAsia="宋体" w:cs="宋体"/>
                <w:color w:val="000000"/>
                <w:sz w:val="21"/>
                <w:szCs w:val="21"/>
                <w:lang w:eastAsia="zh-CN"/>
              </w:rPr>
              <w:t>涨</w:t>
            </w:r>
            <w:r>
              <w:rPr>
                <w:rFonts w:hint="eastAsia" w:ascii="宋体" w:hAnsi="宋体" w:eastAsia="宋体" w:cs="宋体"/>
                <w:color w:val="000000"/>
                <w:spacing w:val="-2"/>
                <w:sz w:val="21"/>
                <w:szCs w:val="21"/>
                <w:lang w:eastAsia="zh-CN"/>
              </w:rPr>
              <w:t>停</w:t>
            </w:r>
            <w:r>
              <w:rPr>
                <w:rFonts w:hint="eastAsia" w:ascii="宋体" w:hAnsi="宋体" w:eastAsia="宋体" w:cs="宋体"/>
                <w:color w:val="000000"/>
                <w:sz w:val="21"/>
                <w:szCs w:val="21"/>
                <w:lang w:eastAsia="zh-CN"/>
              </w:rPr>
              <w:t>价</w:t>
            </w:r>
            <w:r>
              <w:rPr>
                <w:rFonts w:hint="eastAsia" w:ascii="宋体" w:hAnsi="宋体" w:eastAsia="宋体" w:cs="宋体"/>
                <w:color w:val="000000"/>
                <w:spacing w:val="-9"/>
                <w:sz w:val="21"/>
                <w:szCs w:val="21"/>
                <w:lang w:eastAsia="zh-CN"/>
              </w:rPr>
              <w:t>，</w:t>
            </w:r>
            <w:r>
              <w:rPr>
                <w:rFonts w:hint="eastAsia" w:ascii="宋体" w:hAnsi="宋体" w:eastAsia="宋体" w:cs="宋体"/>
                <w:color w:val="000000"/>
                <w:sz w:val="21"/>
                <w:szCs w:val="21"/>
                <w:lang w:eastAsia="zh-CN"/>
              </w:rPr>
              <w:t>跌停</w:t>
            </w:r>
            <w:r>
              <w:rPr>
                <w:rFonts w:hint="eastAsia" w:ascii="宋体" w:hAnsi="宋体" w:eastAsia="宋体" w:cs="宋体"/>
                <w:color w:val="000000"/>
                <w:spacing w:val="-2"/>
                <w:sz w:val="21"/>
                <w:szCs w:val="21"/>
                <w:lang w:eastAsia="zh-CN"/>
              </w:rPr>
              <w:t>价</w:t>
            </w:r>
            <w:r>
              <w:rPr>
                <w:rFonts w:hint="eastAsia" w:ascii="宋体" w:hAnsi="宋体" w:eastAsia="宋体" w:cs="宋体"/>
                <w:color w:val="000000"/>
                <w:spacing w:val="-7"/>
                <w:sz w:val="21"/>
                <w:szCs w:val="21"/>
                <w:lang w:eastAsia="zh-CN"/>
              </w:rPr>
              <w:t>，</w:t>
            </w:r>
            <w:r>
              <w:rPr>
                <w:rFonts w:hint="eastAsia" w:ascii="宋体" w:hAnsi="宋体" w:eastAsia="宋体" w:cs="宋体"/>
                <w:color w:val="000000"/>
                <w:spacing w:val="-7"/>
                <w:sz w:val="21"/>
                <w:szCs w:val="21"/>
                <w:lang w:val="en-US" w:eastAsia="zh-CN"/>
              </w:rPr>
              <w:t>卖五/卖四/卖三/卖二，买二/买三/买四/买五</w:t>
            </w:r>
          </w:p>
          <w:p w14:paraId="0DC92C5A">
            <w:pPr>
              <w:spacing w:before="16"/>
              <w:rPr>
                <w:rFonts w:hint="eastAsia" w:ascii="宋体" w:hAnsi="宋体" w:eastAsia="宋体" w:cs="宋体"/>
                <w:color w:val="010302"/>
                <w:lang w:eastAsia="zh-CN"/>
              </w:rPr>
            </w:pPr>
            <w:r>
              <w:rPr>
                <w:rFonts w:hint="eastAsia" w:ascii="宋体" w:hAnsi="宋体" w:eastAsia="宋体" w:cs="宋体"/>
                <w:color w:val="000000"/>
                <w:sz w:val="21"/>
                <w:szCs w:val="21"/>
                <w:lang w:val="en-US" w:eastAsia="zh-CN"/>
              </w:rPr>
              <w:t>其中最新价、买卖五档盘口档位价、</w:t>
            </w:r>
            <w:r>
              <w:rPr>
                <w:rFonts w:hint="eastAsia" w:ascii="宋体" w:hAnsi="宋体" w:eastAsia="宋体" w:cs="宋体"/>
                <w:color w:val="000000"/>
                <w:sz w:val="21"/>
                <w:szCs w:val="21"/>
                <w:lang w:eastAsia="zh-CN"/>
              </w:rPr>
              <w:t>涨</w:t>
            </w:r>
            <w:r>
              <w:rPr>
                <w:rFonts w:hint="eastAsia" w:ascii="宋体" w:hAnsi="宋体" w:eastAsia="宋体" w:cs="宋体"/>
                <w:color w:val="000000"/>
                <w:spacing w:val="-2"/>
                <w:sz w:val="21"/>
                <w:szCs w:val="21"/>
                <w:lang w:eastAsia="zh-CN"/>
              </w:rPr>
              <w:t>跌</w:t>
            </w:r>
            <w:r>
              <w:rPr>
                <w:rFonts w:hint="eastAsia" w:ascii="宋体" w:hAnsi="宋体" w:eastAsia="宋体" w:cs="宋体"/>
                <w:color w:val="000000"/>
                <w:sz w:val="21"/>
                <w:szCs w:val="21"/>
                <w:lang w:eastAsia="zh-CN"/>
              </w:rPr>
              <w:t>停</w:t>
            </w:r>
            <w:r>
              <w:rPr>
                <w:rFonts w:hint="eastAsia" w:ascii="宋体" w:hAnsi="宋体" w:eastAsia="宋体" w:cs="宋体"/>
                <w:color w:val="000000"/>
                <w:spacing w:val="-2"/>
                <w:sz w:val="21"/>
                <w:szCs w:val="21"/>
                <w:lang w:eastAsia="zh-CN"/>
              </w:rPr>
              <w:t>价</w:t>
            </w:r>
            <w:r>
              <w:rPr>
                <w:rFonts w:hint="eastAsia" w:ascii="宋体" w:hAnsi="宋体" w:eastAsia="宋体" w:cs="宋体"/>
                <w:color w:val="000000"/>
                <w:sz w:val="21"/>
                <w:szCs w:val="21"/>
                <w:lang w:eastAsia="zh-CN"/>
              </w:rPr>
              <w:t>委</w:t>
            </w:r>
            <w:r>
              <w:rPr>
                <w:rFonts w:hint="eastAsia" w:ascii="宋体" w:hAnsi="宋体" w:eastAsia="宋体" w:cs="宋体"/>
                <w:color w:val="000000"/>
                <w:spacing w:val="-2"/>
                <w:sz w:val="21"/>
                <w:szCs w:val="21"/>
                <w:lang w:eastAsia="zh-CN"/>
              </w:rPr>
              <w:t>托</w:t>
            </w:r>
            <w:r>
              <w:rPr>
                <w:rFonts w:hint="eastAsia" w:ascii="宋体" w:hAnsi="宋体" w:eastAsia="宋体" w:cs="宋体"/>
                <w:color w:val="000000"/>
                <w:sz w:val="21"/>
                <w:szCs w:val="21"/>
                <w:lang w:eastAsia="zh-CN"/>
              </w:rPr>
              <w:t>时</w:t>
            </w:r>
            <w:r>
              <w:rPr>
                <w:rFonts w:hint="eastAsia" w:ascii="宋体" w:hAnsi="宋体" w:eastAsia="宋体" w:cs="宋体"/>
                <w:color w:val="000000"/>
                <w:spacing w:val="-33"/>
                <w:sz w:val="21"/>
                <w:szCs w:val="21"/>
                <w:lang w:eastAsia="zh-CN"/>
              </w:rPr>
              <w:t>，</w:t>
            </w:r>
            <w:r>
              <w:rPr>
                <w:rFonts w:hint="eastAsia" w:ascii="宋体" w:hAnsi="宋体" w:eastAsia="宋体" w:cs="宋体"/>
                <w:color w:val="000000"/>
                <w:spacing w:val="-2"/>
                <w:sz w:val="21"/>
                <w:szCs w:val="21"/>
                <w:lang w:eastAsia="zh-CN"/>
              </w:rPr>
              <w:t>支</w:t>
            </w:r>
            <w:r>
              <w:rPr>
                <w:rFonts w:hint="eastAsia" w:ascii="宋体" w:hAnsi="宋体" w:eastAsia="宋体" w:cs="宋体"/>
                <w:color w:val="000000"/>
                <w:sz w:val="21"/>
                <w:szCs w:val="21"/>
                <w:lang w:eastAsia="zh-CN"/>
              </w:rPr>
              <w:t>持</w:t>
            </w:r>
            <w:r>
              <w:rPr>
                <w:rFonts w:hint="eastAsia" w:ascii="宋体" w:hAnsi="宋体" w:eastAsia="宋体" w:cs="宋体"/>
                <w:color w:val="000000"/>
                <w:spacing w:val="-2"/>
                <w:sz w:val="21"/>
                <w:szCs w:val="21"/>
                <w:lang w:eastAsia="zh-CN"/>
              </w:rPr>
              <w:t>设</w:t>
            </w:r>
            <w:r>
              <w:rPr>
                <w:rFonts w:hint="eastAsia" w:ascii="宋体" w:hAnsi="宋体" w:eastAsia="宋体" w:cs="宋体"/>
                <w:color w:val="000000"/>
                <w:sz w:val="21"/>
                <w:szCs w:val="21"/>
                <w:lang w:eastAsia="zh-CN"/>
              </w:rPr>
              <w:t>置</w:t>
            </w:r>
            <w:r>
              <w:rPr>
                <w:rFonts w:hint="eastAsia" w:ascii="宋体" w:hAnsi="宋体" w:eastAsia="宋体" w:cs="宋体"/>
                <w:color w:val="000000"/>
                <w:spacing w:val="-2"/>
                <w:sz w:val="21"/>
                <w:szCs w:val="21"/>
                <w:lang w:eastAsia="zh-CN"/>
              </w:rPr>
              <w:t>浮</w:t>
            </w:r>
            <w:r>
              <w:rPr>
                <w:rFonts w:hint="eastAsia" w:ascii="宋体" w:hAnsi="宋体" w:eastAsia="宋体" w:cs="宋体"/>
                <w:color w:val="000000"/>
                <w:sz w:val="21"/>
                <w:szCs w:val="21"/>
                <w:lang w:eastAsia="zh-CN"/>
              </w:rPr>
              <w:t>动</w:t>
            </w:r>
            <w:r>
              <w:rPr>
                <w:rFonts w:hint="eastAsia" w:ascii="宋体" w:hAnsi="宋体" w:eastAsia="宋体" w:cs="宋体"/>
                <w:color w:val="000000"/>
                <w:spacing w:val="-2"/>
                <w:sz w:val="21"/>
                <w:szCs w:val="21"/>
                <w:lang w:eastAsia="zh-CN"/>
              </w:rPr>
              <w:t>比</w:t>
            </w:r>
            <w:r>
              <w:rPr>
                <w:rFonts w:hint="eastAsia" w:ascii="宋体" w:hAnsi="宋体" w:eastAsia="宋体" w:cs="宋体"/>
                <w:color w:val="000000"/>
                <w:sz w:val="21"/>
                <w:szCs w:val="21"/>
                <w:lang w:eastAsia="zh-CN"/>
              </w:rPr>
              <w:t>例</w:t>
            </w:r>
            <w:r>
              <w:rPr>
                <w:rFonts w:hint="eastAsia" w:ascii="宋体" w:hAnsi="宋体" w:eastAsia="宋体" w:cs="宋体"/>
                <w:color w:val="000000"/>
                <w:spacing w:val="-33"/>
                <w:sz w:val="21"/>
                <w:szCs w:val="21"/>
                <w:lang w:eastAsia="zh-CN"/>
              </w:rPr>
              <w:t>，</w:t>
            </w:r>
            <w:r>
              <w:rPr>
                <w:rFonts w:hint="eastAsia" w:ascii="宋体" w:hAnsi="宋体" w:eastAsia="宋体" w:cs="宋体"/>
                <w:color w:val="000000"/>
                <w:spacing w:val="-2"/>
                <w:sz w:val="21"/>
                <w:szCs w:val="21"/>
                <w:lang w:eastAsia="zh-CN"/>
              </w:rPr>
              <w:t>浮</w:t>
            </w:r>
            <w:r>
              <w:rPr>
                <w:rFonts w:hint="eastAsia" w:ascii="宋体" w:hAnsi="宋体" w:eastAsia="宋体" w:cs="宋体"/>
                <w:color w:val="000000"/>
                <w:sz w:val="21"/>
                <w:szCs w:val="21"/>
                <w:lang w:eastAsia="zh-CN"/>
              </w:rPr>
              <w:t>动单</w:t>
            </w:r>
            <w:r>
              <w:rPr>
                <w:rFonts w:hint="eastAsia" w:ascii="宋体" w:hAnsi="宋体" w:eastAsia="宋体" w:cs="宋体"/>
                <w:color w:val="000000"/>
                <w:spacing w:val="-2"/>
                <w:sz w:val="21"/>
                <w:szCs w:val="21"/>
                <w:lang w:eastAsia="zh-CN"/>
              </w:rPr>
              <w:t>位</w:t>
            </w:r>
            <w:r>
              <w:rPr>
                <w:rFonts w:hint="eastAsia" w:ascii="宋体" w:hAnsi="宋体" w:eastAsia="宋体" w:cs="宋体"/>
                <w:color w:val="000000"/>
                <w:sz w:val="21"/>
                <w:szCs w:val="21"/>
                <w:lang w:eastAsia="zh-CN"/>
              </w:rPr>
              <w:t>为标的最</w:t>
            </w:r>
            <w:r>
              <w:rPr>
                <w:rFonts w:hint="eastAsia" w:ascii="宋体" w:hAnsi="宋体" w:eastAsia="宋体" w:cs="宋体"/>
                <w:color w:val="000000"/>
                <w:spacing w:val="-2"/>
                <w:sz w:val="21"/>
                <w:szCs w:val="21"/>
                <w:lang w:eastAsia="zh-CN"/>
              </w:rPr>
              <w:t>小</w:t>
            </w:r>
            <w:r>
              <w:rPr>
                <w:rFonts w:hint="eastAsia" w:ascii="宋体" w:hAnsi="宋体" w:eastAsia="宋体" w:cs="宋体"/>
                <w:color w:val="000000"/>
                <w:sz w:val="21"/>
                <w:szCs w:val="21"/>
                <w:lang w:eastAsia="zh-CN"/>
              </w:rPr>
              <w:t>变</w:t>
            </w:r>
            <w:r>
              <w:rPr>
                <w:rFonts w:hint="eastAsia" w:ascii="宋体" w:hAnsi="宋体" w:eastAsia="宋体" w:cs="宋体"/>
                <w:color w:val="000000"/>
                <w:spacing w:val="-2"/>
                <w:sz w:val="21"/>
                <w:szCs w:val="21"/>
                <w:lang w:eastAsia="zh-CN"/>
              </w:rPr>
              <w:t>动</w:t>
            </w:r>
            <w:r>
              <w:rPr>
                <w:rFonts w:hint="eastAsia" w:ascii="宋体" w:hAnsi="宋体" w:eastAsia="宋体" w:cs="宋体"/>
                <w:color w:val="000000"/>
                <w:sz w:val="21"/>
                <w:szCs w:val="21"/>
                <w:lang w:eastAsia="zh-CN"/>
              </w:rPr>
              <w:t>价</w:t>
            </w:r>
            <w:r>
              <w:rPr>
                <w:rFonts w:hint="eastAsia" w:ascii="宋体" w:hAnsi="宋体" w:eastAsia="宋体" w:cs="宋体"/>
                <w:color w:val="000000"/>
                <w:spacing w:val="-2"/>
                <w:sz w:val="21"/>
                <w:szCs w:val="21"/>
                <w:lang w:eastAsia="zh-CN"/>
              </w:rPr>
              <w:t>差</w:t>
            </w:r>
            <w:r>
              <w:rPr>
                <w:rFonts w:hint="eastAsia" w:ascii="宋体" w:hAnsi="宋体" w:eastAsia="宋体" w:cs="宋体"/>
                <w:color w:val="000000"/>
                <w:sz w:val="21"/>
                <w:szCs w:val="21"/>
                <w:lang w:eastAsia="zh-CN"/>
              </w:rPr>
              <w:t xml:space="preserve">  </w:t>
            </w:r>
          </w:p>
        </w:tc>
      </w:tr>
      <w:tr w14:paraId="1D9CA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2116" w:type="dxa"/>
            <w:vAlign w:val="center"/>
          </w:tcPr>
          <w:p w14:paraId="275CD61E">
            <w:pPr>
              <w:spacing w:before="16"/>
              <w:ind w:firstLine="112"/>
              <w:jc w:val="center"/>
              <w:rPr>
                <w:rFonts w:hint="eastAsia" w:ascii="宋体" w:hAnsi="宋体" w:eastAsia="宋体" w:cs="宋体"/>
                <w:color w:val="010302"/>
              </w:rPr>
            </w:pPr>
            <w:r>
              <w:rPr>
                <w:rFonts w:hint="eastAsia" w:ascii="宋体" w:hAnsi="宋体" w:eastAsia="宋体" w:cs="宋体"/>
                <w:color w:val="000000"/>
                <w:sz w:val="21"/>
                <w:szCs w:val="21"/>
              </w:rPr>
              <w:t>委托</w:t>
            </w:r>
            <w:r>
              <w:rPr>
                <w:rFonts w:hint="eastAsia" w:ascii="宋体" w:hAnsi="宋体" w:eastAsia="宋体" w:cs="宋体"/>
                <w:color w:val="000000"/>
                <w:spacing w:val="-2"/>
                <w:sz w:val="21"/>
                <w:szCs w:val="21"/>
              </w:rPr>
              <w:t>价格</w:t>
            </w:r>
          </w:p>
        </w:tc>
        <w:tc>
          <w:tcPr>
            <w:tcW w:w="6162" w:type="dxa"/>
          </w:tcPr>
          <w:p w14:paraId="58E75D24">
            <w:pPr>
              <w:spacing w:before="16"/>
              <w:rPr>
                <w:rFonts w:hint="eastAsia" w:ascii="宋体" w:hAnsi="宋体" w:eastAsia="宋体" w:cs="宋体"/>
                <w:color w:val="010302"/>
                <w:lang w:eastAsia="zh-CN"/>
              </w:rPr>
            </w:pPr>
            <w:r>
              <w:rPr>
                <w:rFonts w:hint="eastAsia" w:ascii="宋体" w:hAnsi="宋体" w:eastAsia="宋体" w:cs="宋体"/>
                <w:color w:val="000000"/>
                <w:sz w:val="21"/>
                <w:szCs w:val="21"/>
                <w:lang w:eastAsia="zh-CN"/>
              </w:rPr>
              <w:t>仅在</w:t>
            </w:r>
            <w:r>
              <w:rPr>
                <w:rFonts w:hint="eastAsia" w:ascii="宋体" w:hAnsi="宋体" w:eastAsia="宋体" w:cs="宋体"/>
                <w:color w:val="000000"/>
                <w:spacing w:val="-2"/>
                <w:sz w:val="21"/>
                <w:szCs w:val="21"/>
                <w:lang w:eastAsia="zh-CN"/>
              </w:rPr>
              <w:t>限</w:t>
            </w:r>
            <w:r>
              <w:rPr>
                <w:rFonts w:hint="eastAsia" w:ascii="宋体" w:hAnsi="宋体" w:eastAsia="宋体" w:cs="宋体"/>
                <w:color w:val="000000"/>
                <w:sz w:val="21"/>
                <w:szCs w:val="21"/>
                <w:lang w:eastAsia="zh-CN"/>
              </w:rPr>
              <w:t>价</w:t>
            </w:r>
            <w:r>
              <w:rPr>
                <w:rFonts w:hint="eastAsia" w:ascii="宋体" w:hAnsi="宋体" w:eastAsia="宋体" w:cs="宋体"/>
                <w:color w:val="000000"/>
                <w:spacing w:val="-2"/>
                <w:sz w:val="21"/>
                <w:szCs w:val="21"/>
                <w:lang w:eastAsia="zh-CN"/>
              </w:rPr>
              <w:t>单</w:t>
            </w:r>
            <w:r>
              <w:rPr>
                <w:rFonts w:hint="eastAsia" w:ascii="宋体" w:hAnsi="宋体" w:eastAsia="宋体" w:cs="宋体"/>
                <w:color w:val="000000"/>
                <w:sz w:val="21"/>
                <w:szCs w:val="21"/>
                <w:lang w:eastAsia="zh-CN"/>
              </w:rPr>
              <w:t>情</w:t>
            </w:r>
            <w:r>
              <w:rPr>
                <w:rFonts w:hint="eastAsia" w:ascii="宋体" w:hAnsi="宋体" w:eastAsia="宋体" w:cs="宋体"/>
                <w:color w:val="000000"/>
                <w:spacing w:val="-2"/>
                <w:sz w:val="21"/>
                <w:szCs w:val="21"/>
                <w:lang w:eastAsia="zh-CN"/>
              </w:rPr>
              <w:t>况</w:t>
            </w:r>
            <w:r>
              <w:rPr>
                <w:rFonts w:hint="eastAsia" w:ascii="宋体" w:hAnsi="宋体" w:eastAsia="宋体" w:cs="宋体"/>
                <w:color w:val="000000"/>
                <w:sz w:val="21"/>
                <w:szCs w:val="21"/>
                <w:lang w:eastAsia="zh-CN"/>
              </w:rPr>
              <w:t>下</w:t>
            </w:r>
            <w:r>
              <w:rPr>
                <w:rFonts w:hint="eastAsia" w:ascii="宋体" w:hAnsi="宋体" w:eastAsia="宋体" w:cs="宋体"/>
                <w:color w:val="000000"/>
                <w:spacing w:val="-2"/>
                <w:sz w:val="21"/>
                <w:szCs w:val="21"/>
                <w:lang w:eastAsia="zh-CN"/>
              </w:rPr>
              <w:t>有效</w:t>
            </w:r>
          </w:p>
        </w:tc>
      </w:tr>
      <w:tr w14:paraId="1108D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trPr>
        <w:tc>
          <w:tcPr>
            <w:tcW w:w="2116" w:type="dxa"/>
            <w:vAlign w:val="center"/>
          </w:tcPr>
          <w:p w14:paraId="1E68C180">
            <w:pPr>
              <w:spacing w:before="16"/>
              <w:ind w:firstLine="112"/>
              <w:jc w:val="center"/>
              <w:rPr>
                <w:rFonts w:hint="eastAsia" w:ascii="宋体" w:hAnsi="宋体" w:eastAsia="宋体" w:cs="宋体"/>
                <w:color w:val="010302"/>
              </w:rPr>
            </w:pPr>
            <w:r>
              <w:rPr>
                <w:rFonts w:hint="eastAsia" w:ascii="宋体" w:hAnsi="宋体" w:eastAsia="宋体" w:cs="宋体"/>
                <w:color w:val="000000"/>
                <w:sz w:val="21"/>
                <w:szCs w:val="21"/>
                <w:lang w:val="en-US" w:eastAsia="zh-CN"/>
              </w:rPr>
              <w:t>目标类型</w:t>
            </w:r>
          </w:p>
        </w:tc>
        <w:tc>
          <w:tcPr>
            <w:tcW w:w="6162" w:type="dxa"/>
          </w:tcPr>
          <w:p w14:paraId="2D440AC1">
            <w:pPr>
              <w:spacing w:before="14" w:line="312" w:lineRule="exact"/>
              <w:ind w:right="2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按委托总股数、按委托总金额、按总资产比例、按可用资金比例</w:t>
            </w:r>
            <w:r>
              <w:rPr>
                <w:rFonts w:hint="eastAsia" w:ascii="宋体" w:hAnsi="宋体" w:eastAsia="宋体" w:cs="宋体"/>
                <w:color w:val="000000"/>
                <w:sz w:val="21"/>
                <w:szCs w:val="21"/>
                <w:lang w:eastAsia="zh-CN"/>
              </w:rPr>
              <w:t xml:space="preserve"> </w:t>
            </w:r>
          </w:p>
        </w:tc>
      </w:tr>
      <w:tr w14:paraId="3FC3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2116" w:type="dxa"/>
            <w:vAlign w:val="center"/>
          </w:tcPr>
          <w:p w14:paraId="45CF8925">
            <w:pPr>
              <w:ind w:firstLine="112"/>
              <w:jc w:val="center"/>
              <w:rPr>
                <w:rFonts w:hint="eastAsia" w:ascii="宋体" w:hAnsi="宋体" w:eastAsia="宋体" w:cs="宋体"/>
                <w:color w:val="010302"/>
              </w:rPr>
            </w:pPr>
            <w:r>
              <w:rPr>
                <w:rFonts w:hint="eastAsia" w:ascii="宋体" w:hAnsi="宋体" w:eastAsia="宋体" w:cs="宋体"/>
                <w:color w:val="000000"/>
                <w:sz w:val="21"/>
                <w:szCs w:val="21"/>
                <w:lang w:val="en-US" w:eastAsia="zh-CN"/>
              </w:rPr>
              <w:t>委托总量</w:t>
            </w:r>
          </w:p>
        </w:tc>
        <w:tc>
          <w:tcPr>
            <w:tcW w:w="6162" w:type="dxa"/>
          </w:tcPr>
          <w:p w14:paraId="6488F9CC">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目标类型为按委托总股数、按委托总金额时展示此字段</w:t>
            </w:r>
          </w:p>
          <w:p w14:paraId="24F3321C">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按委托总股数时单位为“股”</w:t>
            </w:r>
          </w:p>
          <w:p w14:paraId="0CE08412">
            <w:pPr>
              <w:rPr>
                <w:rFonts w:hint="eastAsia" w:ascii="宋体" w:hAnsi="宋体" w:eastAsia="宋体" w:cs="宋体"/>
                <w:color w:val="010302"/>
              </w:rPr>
            </w:pPr>
            <w:r>
              <w:rPr>
                <w:rFonts w:hint="eastAsia" w:ascii="宋体" w:hAnsi="宋体" w:eastAsia="宋体" w:cs="宋体"/>
                <w:color w:val="000000"/>
                <w:sz w:val="21"/>
                <w:szCs w:val="21"/>
                <w:lang w:val="en-US" w:eastAsia="zh-CN"/>
              </w:rPr>
              <w:t>按委托总金额时单位为“元”</w:t>
            </w:r>
            <w:r>
              <w:rPr>
                <w:rFonts w:hint="eastAsia" w:ascii="宋体" w:hAnsi="宋体" w:eastAsia="宋体" w:cs="宋体"/>
                <w:color w:val="000000"/>
                <w:sz w:val="21"/>
                <w:szCs w:val="21"/>
              </w:rPr>
              <w:t xml:space="preserve"> </w:t>
            </w:r>
          </w:p>
        </w:tc>
      </w:tr>
      <w:tr w14:paraId="589B8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2116" w:type="dxa"/>
            <w:vAlign w:val="center"/>
          </w:tcPr>
          <w:p w14:paraId="2A9650ED">
            <w:pPr>
              <w:ind w:firstLine="112"/>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可买数量（比例）</w:t>
            </w:r>
          </w:p>
        </w:tc>
        <w:tc>
          <w:tcPr>
            <w:tcW w:w="6162" w:type="dxa"/>
          </w:tcPr>
          <w:p w14:paraId="263BC3B0">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目标类型为按委托总股数、按委托总金额时展示此字段</w:t>
            </w:r>
          </w:p>
          <w:p w14:paraId="5A0FCD04">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单选项，无默认值，分为：全部、1/2、1/3、1/4</w:t>
            </w:r>
          </w:p>
        </w:tc>
      </w:tr>
      <w:tr w14:paraId="2FD18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2116" w:type="dxa"/>
            <w:vAlign w:val="center"/>
          </w:tcPr>
          <w:p w14:paraId="65B7D619">
            <w:pPr>
              <w:ind w:firstLine="112"/>
              <w:jc w:val="center"/>
              <w:rPr>
                <w:rFonts w:hint="eastAsia" w:ascii="宋体" w:hAnsi="宋体" w:eastAsia="宋体" w:cs="宋体"/>
                <w:color w:val="010302"/>
                <w:lang w:eastAsia="zh-CN"/>
              </w:rPr>
            </w:pPr>
            <w:r>
              <w:rPr>
                <w:rFonts w:hint="eastAsia" w:ascii="宋体" w:hAnsi="宋体" w:eastAsia="宋体" w:cs="宋体"/>
                <w:color w:val="000000"/>
                <w:sz w:val="21"/>
                <w:szCs w:val="21"/>
                <w:lang w:val="en-US" w:eastAsia="zh-CN"/>
              </w:rPr>
              <w:t>分配策略</w:t>
            </w:r>
          </w:p>
        </w:tc>
        <w:tc>
          <w:tcPr>
            <w:tcW w:w="6162" w:type="dxa"/>
          </w:tcPr>
          <w:p w14:paraId="5FFF6D9C">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目标类型为按委托总股数、按委托总金额时展示此字段，枚举值如下：</w:t>
            </w:r>
          </w:p>
          <w:p w14:paraId="1287698D">
            <w:pPr>
              <w:rPr>
                <w:rFonts w:hint="eastAsia" w:ascii="宋体" w:hAnsi="宋体" w:eastAsia="宋体" w:cs="宋体"/>
                <w:color w:val="010302"/>
                <w:lang w:val="en-US" w:eastAsia="zh-CN"/>
              </w:rPr>
            </w:pPr>
            <w:r>
              <w:rPr>
                <w:rFonts w:hint="eastAsia" w:ascii="宋体" w:hAnsi="宋体" w:eastAsia="宋体" w:cs="宋体"/>
                <w:b/>
                <w:bCs/>
                <w:color w:val="010302"/>
                <w:lang w:val="en-US" w:eastAsia="zh-CN"/>
              </w:rPr>
              <w:t>顺序分配</w:t>
            </w:r>
            <w:r>
              <w:rPr>
                <w:rFonts w:hint="eastAsia" w:ascii="宋体" w:hAnsi="宋体" w:eastAsia="宋体" w:cs="宋体"/>
                <w:color w:val="010302"/>
                <w:lang w:val="en-US" w:eastAsia="zh-CN"/>
              </w:rPr>
              <w:t>，即账户列表勾选多个账户时，委托总量按顺序先分配给第一个账户，超出的部分再分给后面的账户；否则全部分给单个账户，超出可买/卖部分去掉</w:t>
            </w:r>
          </w:p>
          <w:p w14:paraId="10F595BD">
            <w:pPr>
              <w:rPr>
                <w:rFonts w:hint="eastAsia" w:ascii="宋体" w:hAnsi="宋体" w:eastAsia="宋体" w:cs="宋体"/>
                <w:color w:val="010302"/>
                <w:lang w:val="en-US" w:eastAsia="zh-CN"/>
              </w:rPr>
            </w:pPr>
            <w:r>
              <w:rPr>
                <w:rFonts w:hint="eastAsia" w:ascii="宋体" w:hAnsi="宋体" w:eastAsia="宋体" w:cs="宋体"/>
                <w:b/>
                <w:bCs/>
                <w:color w:val="010302"/>
                <w:lang w:val="en-US" w:eastAsia="zh-CN"/>
              </w:rPr>
              <w:t>可用金额比例分配</w:t>
            </w:r>
            <w:r>
              <w:rPr>
                <w:rFonts w:hint="eastAsia" w:ascii="宋体" w:hAnsi="宋体" w:eastAsia="宋体" w:cs="宋体"/>
                <w:color w:val="010302"/>
                <w:lang w:val="en-US" w:eastAsia="zh-CN"/>
              </w:rPr>
              <w:t>，即按照勾选的账户各自可用金额的比例分配委托数量</w:t>
            </w:r>
          </w:p>
          <w:p w14:paraId="63F712F3">
            <w:pPr>
              <w:rPr>
                <w:rFonts w:hint="eastAsia" w:ascii="宋体" w:hAnsi="宋体" w:eastAsia="宋体" w:cs="宋体"/>
                <w:color w:val="010302"/>
                <w:lang w:val="en-US" w:eastAsia="zh-CN"/>
              </w:rPr>
            </w:pPr>
            <w:r>
              <w:rPr>
                <w:rFonts w:hint="eastAsia" w:ascii="宋体" w:hAnsi="宋体" w:eastAsia="宋体" w:cs="宋体"/>
                <w:b/>
                <w:bCs/>
                <w:color w:val="010302"/>
                <w:lang w:val="en-US" w:eastAsia="zh-CN"/>
              </w:rPr>
              <w:t>总资产比例分配</w:t>
            </w:r>
            <w:r>
              <w:rPr>
                <w:rFonts w:hint="eastAsia" w:ascii="宋体" w:hAnsi="宋体" w:eastAsia="宋体" w:cs="宋体"/>
                <w:color w:val="010302"/>
                <w:lang w:val="en-US" w:eastAsia="zh-CN"/>
              </w:rPr>
              <w:t>，即按照勾选的账户各自总资产比例分配委托数量</w:t>
            </w:r>
          </w:p>
          <w:p w14:paraId="730CA58F">
            <w:pPr>
              <w:rPr>
                <w:rFonts w:hint="eastAsia" w:ascii="宋体" w:hAnsi="宋体" w:eastAsia="宋体" w:cs="宋体"/>
                <w:color w:val="010302"/>
                <w:lang w:val="en-US" w:eastAsia="zh-CN"/>
              </w:rPr>
            </w:pPr>
            <w:r>
              <w:rPr>
                <w:rFonts w:hint="eastAsia" w:ascii="宋体" w:hAnsi="宋体" w:eastAsia="宋体" w:cs="宋体"/>
                <w:b/>
                <w:bCs/>
                <w:color w:val="010302"/>
                <w:lang w:val="en-US" w:eastAsia="zh-CN"/>
              </w:rPr>
              <w:t>自定义比例分配</w:t>
            </w:r>
            <w:r>
              <w:rPr>
                <w:rFonts w:hint="eastAsia" w:ascii="宋体" w:hAnsi="宋体" w:eastAsia="宋体" w:cs="宋体"/>
                <w:color w:val="010302"/>
                <w:lang w:val="en-US" w:eastAsia="zh-CN"/>
              </w:rPr>
              <w:t>，即按用户自己设置的比例分配，单个账户时默认100%</w:t>
            </w:r>
          </w:p>
        </w:tc>
      </w:tr>
      <w:tr w14:paraId="23E50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2116" w:type="dxa"/>
            <w:vAlign w:val="center"/>
          </w:tcPr>
          <w:p w14:paraId="782448A9">
            <w:pPr>
              <w:ind w:firstLine="112"/>
              <w:jc w:val="center"/>
              <w:rPr>
                <w:rFonts w:hint="eastAsia" w:ascii="宋体" w:hAnsi="宋体" w:eastAsia="宋体" w:cs="宋体"/>
                <w:color w:val="010302"/>
              </w:rPr>
            </w:pPr>
            <w:r>
              <w:rPr>
                <w:rFonts w:hint="eastAsia" w:ascii="宋体" w:hAnsi="宋体" w:eastAsia="宋体" w:cs="宋体"/>
                <w:color w:val="000000"/>
                <w:sz w:val="21"/>
                <w:szCs w:val="21"/>
                <w:lang w:val="en-US" w:eastAsia="zh-CN"/>
              </w:rPr>
              <w:t>目标比例</w:t>
            </w:r>
          </w:p>
        </w:tc>
        <w:tc>
          <w:tcPr>
            <w:tcW w:w="6162" w:type="dxa"/>
          </w:tcPr>
          <w:p w14:paraId="6B24298E">
            <w:pPr>
              <w:rPr>
                <w:rFonts w:hint="eastAsia" w:ascii="宋体" w:hAnsi="宋体" w:eastAsia="宋体" w:cs="宋体"/>
                <w:color w:val="010302"/>
              </w:rPr>
            </w:pPr>
            <w:r>
              <w:rPr>
                <w:rFonts w:hint="eastAsia" w:ascii="宋体" w:hAnsi="宋体" w:eastAsia="宋体" w:cs="宋体"/>
                <w:color w:val="000000"/>
                <w:sz w:val="21"/>
                <w:szCs w:val="21"/>
              </w:rPr>
              <w:t>当</w:t>
            </w:r>
            <w:r>
              <w:rPr>
                <w:rFonts w:hint="eastAsia" w:ascii="宋体" w:hAnsi="宋体" w:eastAsia="宋体" w:cs="宋体"/>
                <w:color w:val="000000"/>
                <w:sz w:val="21"/>
                <w:szCs w:val="21"/>
                <w:lang w:val="en-US" w:eastAsia="zh-CN"/>
              </w:rPr>
              <w:t>目标类型为按总资产比例、按可用资金比例时展示该字段无默认值，快捷比例设置选项：全部（100%）、1/2、1/3、1/4</w:t>
            </w:r>
            <w:r>
              <w:rPr>
                <w:rFonts w:hint="eastAsia" w:ascii="宋体" w:hAnsi="宋体" w:eastAsia="宋体" w:cs="宋体"/>
                <w:color w:val="000000"/>
                <w:sz w:val="21"/>
                <w:szCs w:val="21"/>
              </w:rPr>
              <w:t xml:space="preserve"> </w:t>
            </w:r>
          </w:p>
        </w:tc>
      </w:tr>
    </w:tbl>
    <w:p w14:paraId="07D8ACB2">
      <w:pPr>
        <w:jc w:val="left"/>
        <w:rPr>
          <w:rFonts w:hint="eastAsia" w:ascii="宋体" w:hAnsi="宋体" w:eastAsia="宋体" w:cs="宋体"/>
          <w:lang w:val="en-US" w:eastAsia="zh-CN"/>
        </w:rPr>
      </w:pPr>
    </w:p>
    <w:p w14:paraId="24620A9E">
      <w:pPr>
        <w:jc w:val="left"/>
        <w:rPr>
          <w:rFonts w:hint="eastAsia" w:ascii="宋体" w:hAnsi="宋体" w:eastAsia="宋体" w:cs="宋体"/>
          <w:b/>
          <w:bCs/>
          <w:lang w:val="en-US" w:eastAsia="zh-CN"/>
        </w:rPr>
      </w:pPr>
      <w:r>
        <w:rPr>
          <w:rFonts w:hint="eastAsia" w:ascii="宋体" w:hAnsi="宋体" w:eastAsia="宋体" w:cs="宋体"/>
          <w:b/>
          <w:bCs/>
          <w:lang w:val="en-US" w:eastAsia="zh-CN"/>
        </w:rPr>
        <w:t>交易账户列表</w:t>
      </w:r>
    </w:p>
    <w:p w14:paraId="5D38B9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（1）展示当前用户勾选的全部普通账户，展示字段包括：账户名称、资产账号、委托方向、持仓数量、总资产、可用资金、可买数量、占比/目标比例、委托数量、委托金额、备注。</w:t>
      </w:r>
    </w:p>
    <w:p w14:paraId="732597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（2）勾选账户的复选框时，按照下单面板填写的下单信息自动填充勾选的各账户的委托比例（占比/目标比例）、委托数量。</w:t>
      </w:r>
    </w:p>
    <w:p w14:paraId="67669C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（3）占比/目标比例、委托数量这两个字段支持用户手动修改。</w:t>
      </w:r>
    </w:p>
    <w:p w14:paraId="77468F66">
      <w:pPr>
        <w:numPr>
          <w:ilvl w:val="0"/>
          <w:numId w:val="0"/>
        </w:numPr>
        <w:jc w:val="left"/>
        <w:rPr>
          <w:rFonts w:hint="eastAsia" w:ascii="宋体" w:hAnsi="宋体" w:eastAsia="宋体" w:cs="宋体"/>
          <w:b/>
          <w:bCs/>
          <w:lang w:val="en-US" w:eastAsia="zh-CN"/>
        </w:rPr>
      </w:pPr>
      <w:r>
        <w:rPr>
          <w:rFonts w:hint="eastAsia" w:ascii="宋体" w:hAnsi="宋体" w:eastAsia="宋体" w:cs="宋体"/>
          <w:b/>
          <w:bCs/>
          <w:lang w:val="en-US" w:eastAsia="zh-CN"/>
        </w:rPr>
        <w:t>操作按钮</w:t>
      </w:r>
    </w:p>
    <w:p w14:paraId="154BF3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重算，点击按钮，按照下单面板设置的信息重算账户列表中勾选账户的各字段值。</w:t>
      </w:r>
    </w:p>
    <w:p w14:paraId="259F68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下单，点击按钮，按照下单面板设置的委托方向、委托价格，以及账户列表中勾选账户的委托数量下单。</w:t>
      </w:r>
    </w:p>
    <w:p w14:paraId="60E1DA00">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委托列表</w:t>
      </w:r>
    </w:p>
    <w:p w14:paraId="682FD4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除不支持撤补外，同普通交易的4.1.1.4委托明细。</w:t>
      </w:r>
    </w:p>
    <w:p w14:paraId="261DF20D">
      <w:pPr>
        <w:numPr>
          <w:ilvl w:val="0"/>
          <w:numId w:val="0"/>
        </w:numPr>
        <w:jc w:val="left"/>
        <w:rPr>
          <w:rFonts w:hint="eastAsia" w:ascii="宋体" w:hAnsi="宋体" w:eastAsia="宋体" w:cs="宋体"/>
          <w:lang w:val="en-US" w:eastAsia="zh-CN"/>
        </w:rPr>
      </w:pPr>
      <w:r>
        <w:rPr>
          <w:rFonts w:hint="eastAsia" w:ascii="宋体" w:hAnsi="宋体" w:eastAsia="宋体" w:cs="宋体"/>
        </w:rPr>
        <w:drawing>
          <wp:inline distT="0" distB="0" distL="114300" distR="114300">
            <wp:extent cx="5264150" cy="1002665"/>
            <wp:effectExtent l="0" t="0" r="12700" b="6985"/>
            <wp:docPr id="15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0"/>
                    <pic:cNvPicPr>
                      <a:picLocks noChangeAspect="1"/>
                    </pic:cNvPicPr>
                  </pic:nvPicPr>
                  <pic:blipFill>
                    <a:blip r:embed="rId30"/>
                    <a:stretch>
                      <a:fillRect/>
                    </a:stretch>
                  </pic:blipFill>
                  <pic:spPr>
                    <a:xfrm>
                      <a:off x="0" y="0"/>
                      <a:ext cx="5264150" cy="1002665"/>
                    </a:xfrm>
                    <a:prstGeom prst="rect">
                      <a:avLst/>
                    </a:prstGeom>
                    <a:noFill/>
                    <a:ln>
                      <a:noFill/>
                    </a:ln>
                  </pic:spPr>
                </pic:pic>
              </a:graphicData>
            </a:graphic>
          </wp:inline>
        </w:drawing>
      </w:r>
    </w:p>
    <w:p w14:paraId="57CC24AE">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成交列表</w:t>
      </w:r>
    </w:p>
    <w:p w14:paraId="110E0EA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交互同普通交易的4.1.1.5成交明细。</w:t>
      </w:r>
    </w:p>
    <w:p w14:paraId="22EBDFCD">
      <w:pPr>
        <w:numPr>
          <w:ilvl w:val="0"/>
          <w:numId w:val="0"/>
        </w:numPr>
        <w:jc w:val="left"/>
        <w:rPr>
          <w:rFonts w:hint="eastAsia" w:ascii="宋体" w:hAnsi="宋体" w:eastAsia="宋体" w:cs="宋体"/>
        </w:rPr>
      </w:pPr>
      <w:r>
        <w:rPr>
          <w:rFonts w:hint="eastAsia" w:ascii="宋体" w:hAnsi="宋体" w:eastAsia="宋体" w:cs="宋体"/>
        </w:rPr>
        <w:drawing>
          <wp:inline distT="0" distB="0" distL="114300" distR="114300">
            <wp:extent cx="5264150" cy="1002665"/>
            <wp:effectExtent l="0" t="0" r="12700" b="6985"/>
            <wp:docPr id="15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1"/>
                    <pic:cNvPicPr>
                      <a:picLocks noChangeAspect="1"/>
                    </pic:cNvPicPr>
                  </pic:nvPicPr>
                  <pic:blipFill>
                    <a:blip r:embed="rId31"/>
                    <a:stretch>
                      <a:fillRect/>
                    </a:stretch>
                  </pic:blipFill>
                  <pic:spPr>
                    <a:xfrm>
                      <a:off x="0" y="0"/>
                      <a:ext cx="5264150" cy="1002665"/>
                    </a:xfrm>
                    <a:prstGeom prst="rect">
                      <a:avLst/>
                    </a:prstGeom>
                    <a:noFill/>
                    <a:ln>
                      <a:noFill/>
                    </a:ln>
                  </pic:spPr>
                </pic:pic>
              </a:graphicData>
            </a:graphic>
          </wp:inline>
        </w:drawing>
      </w:r>
    </w:p>
    <w:p w14:paraId="3824B603">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持仓列表</w:t>
      </w:r>
    </w:p>
    <w:p w14:paraId="225A66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持仓列表展示当前用户关联的全部普通账户的持仓数据，交互同普通交易的4.1.1.2持仓账户资产。</w:t>
      </w:r>
    </w:p>
    <w:p w14:paraId="031A1B62">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rPr>
        <w:drawing>
          <wp:inline distT="0" distB="0" distL="114300" distR="114300">
            <wp:extent cx="5264150" cy="1002665"/>
            <wp:effectExtent l="0" t="0" r="12700" b="6985"/>
            <wp:docPr id="15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2"/>
                    <pic:cNvPicPr>
                      <a:picLocks noChangeAspect="1"/>
                    </pic:cNvPicPr>
                  </pic:nvPicPr>
                  <pic:blipFill>
                    <a:blip r:embed="rId32"/>
                    <a:stretch>
                      <a:fillRect/>
                    </a:stretch>
                  </pic:blipFill>
                  <pic:spPr>
                    <a:xfrm>
                      <a:off x="0" y="0"/>
                      <a:ext cx="5264150" cy="1002665"/>
                    </a:xfrm>
                    <a:prstGeom prst="rect">
                      <a:avLst/>
                    </a:prstGeom>
                    <a:noFill/>
                    <a:ln>
                      <a:noFill/>
                    </a:ln>
                  </pic:spPr>
                </pic:pic>
              </a:graphicData>
            </a:graphic>
          </wp:inline>
        </w:drawing>
      </w:r>
    </w:p>
    <w:p w14:paraId="00B52412">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账户资产</w:t>
      </w:r>
    </w:p>
    <w:p w14:paraId="5041BB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账户资产列表展示当前用户关联的全部普通账户的资产，支持导出资产明细。</w:t>
      </w:r>
    </w:p>
    <w:p w14:paraId="50F050B3">
      <w:pPr>
        <w:numPr>
          <w:ilvl w:val="0"/>
          <w:numId w:val="0"/>
        </w:numPr>
        <w:jc w:val="left"/>
        <w:rPr>
          <w:rFonts w:hint="eastAsia" w:ascii="宋体" w:hAnsi="宋体" w:eastAsia="宋体" w:cs="宋体"/>
          <w:lang w:val="en-US" w:eastAsia="zh-CN"/>
        </w:rPr>
      </w:pPr>
      <w:r>
        <w:rPr>
          <w:rFonts w:hint="eastAsia" w:ascii="宋体" w:hAnsi="宋体" w:eastAsia="宋体" w:cs="宋体"/>
        </w:rPr>
        <w:drawing>
          <wp:inline distT="0" distB="0" distL="114300" distR="114300">
            <wp:extent cx="5264150" cy="1002665"/>
            <wp:effectExtent l="0" t="0" r="12700" b="6985"/>
            <wp:docPr id="15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3"/>
                    <pic:cNvPicPr>
                      <a:picLocks noChangeAspect="1"/>
                    </pic:cNvPicPr>
                  </pic:nvPicPr>
                  <pic:blipFill>
                    <a:blip r:embed="rId33"/>
                    <a:stretch>
                      <a:fillRect/>
                    </a:stretch>
                  </pic:blipFill>
                  <pic:spPr>
                    <a:xfrm>
                      <a:off x="0" y="0"/>
                      <a:ext cx="5264150" cy="1002665"/>
                    </a:xfrm>
                    <a:prstGeom prst="rect">
                      <a:avLst/>
                    </a:prstGeom>
                    <a:noFill/>
                    <a:ln>
                      <a:noFill/>
                    </a:ln>
                  </pic:spPr>
                </pic:pic>
              </a:graphicData>
            </a:graphic>
          </wp:inline>
        </w:drawing>
      </w:r>
    </w:p>
    <w:p w14:paraId="1245C854">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18" w:name="_Toc2671"/>
      <w:r>
        <w:rPr>
          <w:rFonts w:hint="eastAsia" w:ascii="宋体" w:hAnsi="宋体" w:eastAsia="宋体" w:cs="宋体"/>
          <w:sz w:val="28"/>
          <w:szCs w:val="28"/>
          <w:lang w:val="en-US" w:eastAsia="zh-CN"/>
        </w:rPr>
        <w:t>期权交易</w:t>
      </w:r>
      <w:bookmarkEnd w:id="18"/>
    </w:p>
    <w:p w14:paraId="75D243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期权交易提供ETF期权基础交易功能，支持上交所、深交所上市的9只ETF标的的期权交易，具体包含：</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4301"/>
        <w:gridCol w:w="2841"/>
      </w:tblGrid>
      <w:tr w14:paraId="43CA7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Align w:val="center"/>
          </w:tcPr>
          <w:p w14:paraId="15F9EA5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b/>
                <w:bCs/>
                <w:highlight w:val="none"/>
                <w:vertAlign w:val="baseline"/>
                <w:lang w:val="en-US" w:eastAsia="zh-CN"/>
              </w:rPr>
            </w:pPr>
            <w:r>
              <w:rPr>
                <w:rFonts w:hint="eastAsia" w:ascii="宋体" w:hAnsi="宋体" w:eastAsia="宋体" w:cs="宋体"/>
                <w:b/>
                <w:bCs/>
                <w:highlight w:val="none"/>
                <w:vertAlign w:val="baseline"/>
                <w:lang w:val="en-US" w:eastAsia="zh-CN"/>
              </w:rPr>
              <w:t>交易所</w:t>
            </w:r>
          </w:p>
        </w:tc>
        <w:tc>
          <w:tcPr>
            <w:tcW w:w="4301" w:type="dxa"/>
            <w:vAlign w:val="center"/>
          </w:tcPr>
          <w:p w14:paraId="3E979F5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b/>
                <w:bCs/>
                <w:highlight w:val="none"/>
                <w:vertAlign w:val="baseline"/>
                <w:lang w:val="en-US" w:eastAsia="zh-CN"/>
              </w:rPr>
            </w:pPr>
            <w:r>
              <w:rPr>
                <w:rFonts w:hint="eastAsia" w:ascii="宋体" w:hAnsi="宋体" w:eastAsia="宋体" w:cs="宋体"/>
                <w:b/>
                <w:bCs/>
                <w:highlight w:val="none"/>
                <w:vertAlign w:val="baseline"/>
                <w:lang w:val="en-US" w:eastAsia="zh-CN"/>
              </w:rPr>
              <w:t>标的类型</w:t>
            </w:r>
          </w:p>
        </w:tc>
        <w:tc>
          <w:tcPr>
            <w:tcW w:w="2841" w:type="dxa"/>
            <w:vAlign w:val="center"/>
          </w:tcPr>
          <w:p w14:paraId="7BE15B8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b/>
                <w:bCs/>
                <w:highlight w:val="none"/>
                <w:vertAlign w:val="baseline"/>
                <w:lang w:val="en-US" w:eastAsia="zh-CN"/>
              </w:rPr>
            </w:pPr>
            <w:r>
              <w:rPr>
                <w:rFonts w:hint="eastAsia" w:ascii="宋体" w:hAnsi="宋体" w:eastAsia="宋体" w:cs="宋体"/>
                <w:b/>
                <w:bCs/>
                <w:highlight w:val="none"/>
                <w:vertAlign w:val="baseline"/>
                <w:lang w:val="en-US" w:eastAsia="zh-CN"/>
              </w:rPr>
              <w:t>标的证券代码</w:t>
            </w:r>
          </w:p>
        </w:tc>
      </w:tr>
      <w:tr w14:paraId="5F4ED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restart"/>
            <w:vAlign w:val="center"/>
          </w:tcPr>
          <w:p w14:paraId="1E665A3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上交所</w:t>
            </w:r>
          </w:p>
        </w:tc>
        <w:tc>
          <w:tcPr>
            <w:tcW w:w="4301" w:type="dxa"/>
            <w:vAlign w:val="center"/>
          </w:tcPr>
          <w:p w14:paraId="0507081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华夏上证50ETE期权</w:t>
            </w:r>
          </w:p>
        </w:tc>
        <w:tc>
          <w:tcPr>
            <w:tcW w:w="2841" w:type="dxa"/>
            <w:vAlign w:val="center"/>
          </w:tcPr>
          <w:p w14:paraId="1B8D51B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510050.SH  50ETF</w:t>
            </w:r>
          </w:p>
        </w:tc>
      </w:tr>
      <w:tr w14:paraId="09BC1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continue"/>
            <w:vAlign w:val="center"/>
          </w:tcPr>
          <w:p w14:paraId="40CA7C9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p>
        </w:tc>
        <w:tc>
          <w:tcPr>
            <w:tcW w:w="4301" w:type="dxa"/>
            <w:vAlign w:val="center"/>
          </w:tcPr>
          <w:p w14:paraId="40C4BC0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华泰柏瑞沪深300ETE期权</w:t>
            </w:r>
          </w:p>
        </w:tc>
        <w:tc>
          <w:tcPr>
            <w:tcW w:w="2841" w:type="dxa"/>
            <w:vAlign w:val="center"/>
          </w:tcPr>
          <w:p w14:paraId="690EC6A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510300.SH  300ETF</w:t>
            </w:r>
          </w:p>
        </w:tc>
      </w:tr>
      <w:tr w14:paraId="3F6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continue"/>
            <w:vAlign w:val="center"/>
          </w:tcPr>
          <w:p w14:paraId="5531562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p>
        </w:tc>
        <w:tc>
          <w:tcPr>
            <w:tcW w:w="4301" w:type="dxa"/>
            <w:vAlign w:val="center"/>
          </w:tcPr>
          <w:p w14:paraId="6B1EB29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南方中证500ETE期权</w:t>
            </w:r>
          </w:p>
        </w:tc>
        <w:tc>
          <w:tcPr>
            <w:tcW w:w="2841" w:type="dxa"/>
            <w:vAlign w:val="center"/>
          </w:tcPr>
          <w:p w14:paraId="218855F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510500.SH  500ETF</w:t>
            </w:r>
          </w:p>
        </w:tc>
      </w:tr>
      <w:tr w14:paraId="234DA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continue"/>
            <w:vAlign w:val="center"/>
          </w:tcPr>
          <w:p w14:paraId="5C1F8FE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p>
        </w:tc>
        <w:tc>
          <w:tcPr>
            <w:tcW w:w="4301" w:type="dxa"/>
            <w:vAlign w:val="center"/>
          </w:tcPr>
          <w:p w14:paraId="176B7E0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华夏上证科创板50ETF期权</w:t>
            </w:r>
          </w:p>
        </w:tc>
        <w:tc>
          <w:tcPr>
            <w:tcW w:w="2841" w:type="dxa"/>
            <w:vAlign w:val="center"/>
          </w:tcPr>
          <w:p w14:paraId="48097ED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588000.SH  科创50</w:t>
            </w:r>
          </w:p>
        </w:tc>
      </w:tr>
      <w:tr w14:paraId="3C52D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continue"/>
            <w:vAlign w:val="center"/>
          </w:tcPr>
          <w:p w14:paraId="7D00DAA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p>
        </w:tc>
        <w:tc>
          <w:tcPr>
            <w:tcW w:w="4301" w:type="dxa"/>
            <w:vAlign w:val="center"/>
          </w:tcPr>
          <w:p w14:paraId="70B300E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易方达上证科创板50ETE期权</w:t>
            </w:r>
          </w:p>
        </w:tc>
        <w:tc>
          <w:tcPr>
            <w:tcW w:w="2841" w:type="dxa"/>
            <w:vAlign w:val="center"/>
          </w:tcPr>
          <w:p w14:paraId="3A9B4BE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588080.SH  科创板50</w:t>
            </w:r>
          </w:p>
        </w:tc>
      </w:tr>
      <w:tr w14:paraId="205ED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0" w:type="dxa"/>
            <w:vMerge w:val="restart"/>
            <w:vAlign w:val="center"/>
          </w:tcPr>
          <w:p w14:paraId="1265C3A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深交所</w:t>
            </w:r>
          </w:p>
        </w:tc>
        <w:tc>
          <w:tcPr>
            <w:tcW w:w="4301" w:type="dxa"/>
            <w:vAlign w:val="center"/>
          </w:tcPr>
          <w:p w14:paraId="3EA2D71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易方达深证100ETF期权</w:t>
            </w:r>
          </w:p>
        </w:tc>
        <w:tc>
          <w:tcPr>
            <w:tcW w:w="2841" w:type="dxa"/>
            <w:vAlign w:val="center"/>
          </w:tcPr>
          <w:p w14:paraId="0DDD9E9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159901.SZ  深100ETF</w:t>
            </w:r>
          </w:p>
        </w:tc>
      </w:tr>
      <w:tr w14:paraId="1CB48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continue"/>
            <w:vAlign w:val="center"/>
          </w:tcPr>
          <w:p w14:paraId="3C3E1C4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p>
        </w:tc>
        <w:tc>
          <w:tcPr>
            <w:tcW w:w="4301" w:type="dxa"/>
            <w:vAlign w:val="center"/>
          </w:tcPr>
          <w:p w14:paraId="295B64F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易方达创业板ETF期权</w:t>
            </w:r>
          </w:p>
        </w:tc>
        <w:tc>
          <w:tcPr>
            <w:tcW w:w="2841" w:type="dxa"/>
            <w:vAlign w:val="center"/>
          </w:tcPr>
          <w:p w14:paraId="2F3C91B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159915.SZ  创业板</w:t>
            </w:r>
          </w:p>
        </w:tc>
      </w:tr>
      <w:tr w14:paraId="26AEA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continue"/>
            <w:vAlign w:val="center"/>
          </w:tcPr>
          <w:p w14:paraId="3E9E6DB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p>
        </w:tc>
        <w:tc>
          <w:tcPr>
            <w:tcW w:w="4301" w:type="dxa"/>
            <w:vAlign w:val="center"/>
          </w:tcPr>
          <w:p w14:paraId="37EAB4B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嘉实沪深300ETF期权</w:t>
            </w:r>
          </w:p>
        </w:tc>
        <w:tc>
          <w:tcPr>
            <w:tcW w:w="2841" w:type="dxa"/>
            <w:vAlign w:val="center"/>
          </w:tcPr>
          <w:p w14:paraId="6AEF0F9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159919.SZ  沪深300</w:t>
            </w:r>
          </w:p>
        </w:tc>
      </w:tr>
      <w:tr w14:paraId="71957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continue"/>
            <w:vAlign w:val="center"/>
          </w:tcPr>
          <w:p w14:paraId="6D5BF6C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p>
        </w:tc>
        <w:tc>
          <w:tcPr>
            <w:tcW w:w="4301" w:type="dxa"/>
            <w:vAlign w:val="center"/>
          </w:tcPr>
          <w:p w14:paraId="097FC54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嘉实中证500ETF期权</w:t>
            </w:r>
          </w:p>
        </w:tc>
        <w:tc>
          <w:tcPr>
            <w:tcW w:w="2841" w:type="dxa"/>
            <w:vAlign w:val="center"/>
          </w:tcPr>
          <w:p w14:paraId="6C7AA83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159922.SZ  500ETF</w:t>
            </w:r>
          </w:p>
        </w:tc>
      </w:tr>
    </w:tbl>
    <w:p w14:paraId="7A2C3E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highlight w:val="none"/>
          <w:lang w:val="en-US" w:eastAsia="zh-CN"/>
        </w:rPr>
        <w:t>该模块包含：通用期权持仓、期权账户资产、闪电下单，T型行情，委托明细，成交明</w:t>
      </w:r>
      <w:r>
        <w:rPr>
          <w:rFonts w:hint="eastAsia" w:ascii="宋体" w:hAnsi="宋体" w:eastAsia="宋体" w:cs="宋体"/>
          <w:lang w:val="en-US" w:eastAsia="zh-CN"/>
        </w:rPr>
        <w:t>细，交易面板等功能模块，界面如下：</w:t>
      </w:r>
    </w:p>
    <w:p w14:paraId="6F4DC8DE">
      <w:pPr>
        <w:rPr>
          <w:rFonts w:hint="eastAsia" w:ascii="宋体" w:hAnsi="宋体" w:eastAsia="宋体" w:cs="宋体"/>
        </w:rPr>
      </w:pPr>
      <w:r>
        <w:rPr>
          <w:rFonts w:hint="eastAsia" w:ascii="宋体" w:hAnsi="宋体" w:eastAsia="宋体" w:cs="宋体"/>
        </w:rPr>
        <w:drawing>
          <wp:inline distT="0" distB="0" distL="114300" distR="114300">
            <wp:extent cx="5266690" cy="2653665"/>
            <wp:effectExtent l="0" t="0" r="1270" b="1905"/>
            <wp:docPr id="15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4"/>
                    <pic:cNvPicPr>
                      <a:picLocks noChangeAspect="1"/>
                    </pic:cNvPicPr>
                  </pic:nvPicPr>
                  <pic:blipFill>
                    <a:blip r:embed="rId34"/>
                    <a:srcRect t="6989"/>
                    <a:stretch>
                      <a:fillRect/>
                    </a:stretch>
                  </pic:blipFill>
                  <pic:spPr>
                    <a:xfrm>
                      <a:off x="0" y="0"/>
                      <a:ext cx="5266690" cy="2653665"/>
                    </a:xfrm>
                    <a:prstGeom prst="rect">
                      <a:avLst/>
                    </a:prstGeom>
                    <a:noFill/>
                    <a:ln>
                      <a:noFill/>
                    </a:ln>
                  </pic:spPr>
                </pic:pic>
              </a:graphicData>
            </a:graphic>
          </wp:inline>
        </w:drawing>
      </w:r>
    </w:p>
    <w:p w14:paraId="733AD092">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通用期权持仓</w:t>
      </w:r>
    </w:p>
    <w:p w14:paraId="5FA8D4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持仓列表展示当前资产账号当日的持仓记录，展示用户持仓类型，浮动盈亏，时间价值和涨跌幅等，支持按不同字段排序、筛选持仓列表，支持拖动列表字段调整字段排序，支持导出表格、设置列表字段的展示和隐藏。</w:t>
      </w:r>
    </w:p>
    <w:p w14:paraId="1C89CD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表格列显隐设置弹窗，勾选的的字段展示，未勾选的字段隐藏。</w:t>
      </w:r>
    </w:p>
    <w:p w14:paraId="5AEB0F0F">
      <w:pPr>
        <w:jc w:val="center"/>
        <w:rPr>
          <w:rFonts w:hint="eastAsia" w:ascii="宋体" w:hAnsi="宋体" w:eastAsia="宋体" w:cs="宋体"/>
        </w:rPr>
      </w:pPr>
      <w:r>
        <w:rPr>
          <w:rFonts w:hint="eastAsia" w:ascii="宋体" w:hAnsi="宋体" w:eastAsia="宋体" w:cs="宋体"/>
        </w:rPr>
        <w:drawing>
          <wp:inline distT="0" distB="0" distL="114300" distR="114300">
            <wp:extent cx="2661285" cy="2117090"/>
            <wp:effectExtent l="0" t="0" r="5080" b="9525"/>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35"/>
                    <a:stretch>
                      <a:fillRect/>
                    </a:stretch>
                  </pic:blipFill>
                  <pic:spPr>
                    <a:xfrm>
                      <a:off x="0" y="0"/>
                      <a:ext cx="2661285" cy="2117090"/>
                    </a:xfrm>
                    <a:prstGeom prst="rect">
                      <a:avLst/>
                    </a:prstGeom>
                    <a:noFill/>
                    <a:ln>
                      <a:noFill/>
                    </a:ln>
                  </pic:spPr>
                </pic:pic>
              </a:graphicData>
            </a:graphic>
          </wp:inline>
        </w:drawing>
      </w:r>
    </w:p>
    <w:p w14:paraId="2BF8A9F9">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期权账户资产</w:t>
      </w:r>
    </w:p>
    <w:p w14:paraId="1FB5C6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展示当前用户关联的全部期权账户的资产信息，包括期初金额、当前金额、可用金额、占用保证金、可用保证金等信息。</w:t>
      </w:r>
    </w:p>
    <w:p w14:paraId="0FFED169">
      <w:pPr>
        <w:jc w:val="center"/>
        <w:rPr>
          <w:rFonts w:hint="eastAsia" w:ascii="宋体" w:hAnsi="宋体" w:eastAsia="宋体" w:cs="宋体"/>
        </w:rPr>
      </w:pPr>
      <w:r>
        <w:rPr>
          <w:rFonts w:hint="eastAsia" w:ascii="宋体" w:hAnsi="宋体" w:eastAsia="宋体" w:cs="宋体"/>
        </w:rPr>
        <w:drawing>
          <wp:inline distT="0" distB="0" distL="114300" distR="114300">
            <wp:extent cx="4086225" cy="2517775"/>
            <wp:effectExtent l="0" t="0" r="5080" b="8255"/>
            <wp:docPr id="15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5"/>
                    <pic:cNvPicPr>
                      <a:picLocks noChangeAspect="1"/>
                    </pic:cNvPicPr>
                  </pic:nvPicPr>
                  <pic:blipFill>
                    <a:blip r:embed="rId36"/>
                    <a:stretch>
                      <a:fillRect/>
                    </a:stretch>
                  </pic:blipFill>
                  <pic:spPr>
                    <a:xfrm>
                      <a:off x="0" y="0"/>
                      <a:ext cx="4086225" cy="2517775"/>
                    </a:xfrm>
                    <a:prstGeom prst="rect">
                      <a:avLst/>
                    </a:prstGeom>
                    <a:noFill/>
                    <a:ln>
                      <a:noFill/>
                    </a:ln>
                  </pic:spPr>
                </pic:pic>
              </a:graphicData>
            </a:graphic>
          </wp:inline>
        </w:drawing>
      </w:r>
    </w:p>
    <w:p w14:paraId="4D128D5E">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闪电下单</w:t>
      </w:r>
    </w:p>
    <w:p w14:paraId="34E3E4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闪电下单面板，支持用户快速设置下单信息实现快速下单。</w:t>
      </w:r>
    </w:p>
    <w:p w14:paraId="0F86ACF6">
      <w:pPr>
        <w:jc w:val="center"/>
        <w:rPr>
          <w:rFonts w:hint="eastAsia" w:ascii="宋体" w:hAnsi="宋体" w:eastAsia="宋体" w:cs="宋体"/>
        </w:rPr>
      </w:pPr>
      <w:r>
        <w:rPr>
          <w:rFonts w:hint="eastAsia" w:ascii="宋体" w:hAnsi="宋体" w:eastAsia="宋体" w:cs="宋体"/>
        </w:rPr>
        <w:drawing>
          <wp:inline distT="0" distB="0" distL="114300" distR="114300">
            <wp:extent cx="4336415" cy="2672080"/>
            <wp:effectExtent l="0" t="0" r="3175" b="5080"/>
            <wp:docPr id="15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6"/>
                    <pic:cNvPicPr>
                      <a:picLocks noChangeAspect="1"/>
                    </pic:cNvPicPr>
                  </pic:nvPicPr>
                  <pic:blipFill>
                    <a:blip r:embed="rId37"/>
                    <a:stretch>
                      <a:fillRect/>
                    </a:stretch>
                  </pic:blipFill>
                  <pic:spPr>
                    <a:xfrm>
                      <a:off x="0" y="0"/>
                      <a:ext cx="4336415" cy="2672080"/>
                    </a:xfrm>
                    <a:prstGeom prst="rect">
                      <a:avLst/>
                    </a:prstGeom>
                    <a:noFill/>
                    <a:ln>
                      <a:noFill/>
                    </a:ln>
                  </pic:spPr>
                </pic:pic>
              </a:graphicData>
            </a:graphic>
          </wp:inline>
        </w:drawing>
      </w:r>
    </w:p>
    <w:p w14:paraId="128679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闪电下单面板个字段说明如下；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3"/>
        <w:gridCol w:w="4425"/>
        <w:gridCol w:w="2074"/>
      </w:tblGrid>
      <w:tr w14:paraId="0E54D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tcPr>
          <w:p w14:paraId="570FF3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字段名称</w:t>
            </w:r>
          </w:p>
        </w:tc>
        <w:tc>
          <w:tcPr>
            <w:tcW w:w="4425" w:type="dxa"/>
          </w:tcPr>
          <w:p w14:paraId="62231B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说明</w:t>
            </w:r>
          </w:p>
        </w:tc>
        <w:tc>
          <w:tcPr>
            <w:tcW w:w="2074" w:type="dxa"/>
          </w:tcPr>
          <w:p w14:paraId="257BDC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备注</w:t>
            </w:r>
          </w:p>
        </w:tc>
      </w:tr>
      <w:tr w14:paraId="1ACBF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vAlign w:val="center"/>
          </w:tcPr>
          <w:p w14:paraId="3F435B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资产账号</w:t>
            </w:r>
          </w:p>
        </w:tc>
        <w:tc>
          <w:tcPr>
            <w:tcW w:w="4425" w:type="dxa"/>
          </w:tcPr>
          <w:p w14:paraId="158002A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下拉单选框，展示当前用户绑定的全部资产号，点击选中自动填充</w:t>
            </w:r>
          </w:p>
        </w:tc>
        <w:tc>
          <w:tcPr>
            <w:tcW w:w="2074" w:type="dxa"/>
          </w:tcPr>
          <w:p w14:paraId="1DF945D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p>
        </w:tc>
      </w:tr>
      <w:tr w14:paraId="68140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vAlign w:val="center"/>
          </w:tcPr>
          <w:p w14:paraId="4420F0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期权名称</w:t>
            </w:r>
          </w:p>
        </w:tc>
        <w:tc>
          <w:tcPr>
            <w:tcW w:w="4425" w:type="dxa"/>
          </w:tcPr>
          <w:p w14:paraId="7D0A864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输入合约代码自动展示对应的期权名称</w:t>
            </w:r>
          </w:p>
        </w:tc>
        <w:tc>
          <w:tcPr>
            <w:tcW w:w="2074" w:type="dxa"/>
          </w:tcPr>
          <w:p w14:paraId="3D5B4CB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p>
        </w:tc>
      </w:tr>
      <w:tr w14:paraId="4CAA0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vAlign w:val="center"/>
          </w:tcPr>
          <w:p w14:paraId="612FB5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合约代码</w:t>
            </w:r>
          </w:p>
        </w:tc>
        <w:tc>
          <w:tcPr>
            <w:tcW w:w="4425" w:type="dxa"/>
          </w:tcPr>
          <w:p w14:paraId="476E012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支持手动输入合约代码，输入框支持联想</w:t>
            </w:r>
          </w:p>
          <w:p w14:paraId="333191E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双击T型行情中的标的时，可自动给填充对应的合约代码</w:t>
            </w:r>
          </w:p>
        </w:tc>
        <w:tc>
          <w:tcPr>
            <w:tcW w:w="2074" w:type="dxa"/>
          </w:tcPr>
          <w:p w14:paraId="4F73DE5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p>
        </w:tc>
      </w:tr>
      <w:tr w14:paraId="7BCC1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vAlign w:val="center"/>
          </w:tcPr>
          <w:p w14:paraId="363998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现价</w:t>
            </w:r>
          </w:p>
        </w:tc>
        <w:tc>
          <w:tcPr>
            <w:tcW w:w="4425" w:type="dxa"/>
          </w:tcPr>
          <w:p w14:paraId="56EA063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当前合约的最新价</w:t>
            </w:r>
          </w:p>
        </w:tc>
        <w:tc>
          <w:tcPr>
            <w:tcW w:w="2074" w:type="dxa"/>
          </w:tcPr>
          <w:p w14:paraId="39E5F69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p>
        </w:tc>
      </w:tr>
      <w:tr w14:paraId="0DFFF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vAlign w:val="center"/>
          </w:tcPr>
          <w:p w14:paraId="6E72FB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多仓/空仓/净持仓</w:t>
            </w:r>
          </w:p>
        </w:tc>
        <w:tc>
          <w:tcPr>
            <w:tcW w:w="4425" w:type="dxa"/>
          </w:tcPr>
          <w:p w14:paraId="0495B69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当前资产账号持有当前合约的持仓情况</w:t>
            </w:r>
          </w:p>
        </w:tc>
        <w:tc>
          <w:tcPr>
            <w:tcW w:w="2074" w:type="dxa"/>
          </w:tcPr>
          <w:p w14:paraId="49A1809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p>
        </w:tc>
      </w:tr>
      <w:tr w14:paraId="0E3BC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vAlign w:val="center"/>
          </w:tcPr>
          <w:p w14:paraId="311EE1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净仓</w:t>
            </w:r>
          </w:p>
        </w:tc>
        <w:tc>
          <w:tcPr>
            <w:tcW w:w="4425" w:type="dxa"/>
          </w:tcPr>
          <w:p w14:paraId="24ED7F8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勾选该选项，当前资产账号持有当前标的，下单方向和持仓方向相反时，则执行先平后开的下单逻辑</w:t>
            </w:r>
          </w:p>
          <w:p w14:paraId="2076378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例：当前持有当前合约权利仓100张，闪电下单卖出150张，则分两笔下单平仓权利仓100张合约，开仓义务仓50张合约</w:t>
            </w:r>
          </w:p>
        </w:tc>
        <w:tc>
          <w:tcPr>
            <w:tcW w:w="2074" w:type="dxa"/>
          </w:tcPr>
          <w:p w14:paraId="0262A5C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若当前资产账号有未成交委托，则不执行先平后开逻辑，只有一笔开仓委托</w:t>
            </w:r>
          </w:p>
        </w:tc>
      </w:tr>
      <w:tr w14:paraId="08AD6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vAlign w:val="center"/>
          </w:tcPr>
          <w:p w14:paraId="2DE838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买/卖挂单</w:t>
            </w:r>
          </w:p>
        </w:tc>
        <w:tc>
          <w:tcPr>
            <w:tcW w:w="4425" w:type="dxa"/>
          </w:tcPr>
          <w:p w14:paraId="66C3514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当前资产账号对当前合约的挂单情况</w:t>
            </w:r>
          </w:p>
        </w:tc>
        <w:tc>
          <w:tcPr>
            <w:tcW w:w="2074" w:type="dxa"/>
          </w:tcPr>
          <w:p w14:paraId="390A041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p>
        </w:tc>
      </w:tr>
      <w:tr w14:paraId="1533E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vAlign w:val="center"/>
          </w:tcPr>
          <w:p w14:paraId="15FB09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行情价格展示</w:t>
            </w:r>
          </w:p>
        </w:tc>
        <w:tc>
          <w:tcPr>
            <w:tcW w:w="4425" w:type="dxa"/>
          </w:tcPr>
          <w:p w14:paraId="6A15964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单选项，分为盘口价格（默认选项）、详细价格</w:t>
            </w:r>
          </w:p>
        </w:tc>
        <w:tc>
          <w:tcPr>
            <w:tcW w:w="2074" w:type="dxa"/>
          </w:tcPr>
          <w:p w14:paraId="4081930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p>
        </w:tc>
      </w:tr>
      <w:tr w14:paraId="59B1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vAlign w:val="center"/>
          </w:tcPr>
          <w:p w14:paraId="5E464A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行情盘口</w:t>
            </w:r>
          </w:p>
        </w:tc>
        <w:tc>
          <w:tcPr>
            <w:tcW w:w="4425" w:type="dxa"/>
          </w:tcPr>
          <w:p w14:paraId="3F564F5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选择盘口价格时，展示买卖五档盘口价格及对应的挂单数</w:t>
            </w:r>
          </w:p>
          <w:p w14:paraId="7F0F6E5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选择详细价格时，按最小单位价格变动展示标的价格及对应挂单数</w:t>
            </w:r>
          </w:p>
        </w:tc>
        <w:tc>
          <w:tcPr>
            <w:tcW w:w="2074" w:type="dxa"/>
          </w:tcPr>
          <w:p w14:paraId="51CFC0A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p>
        </w:tc>
      </w:tr>
      <w:tr w14:paraId="075B5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vAlign w:val="center"/>
          </w:tcPr>
          <w:p w14:paraId="0BB463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市买/市卖</w:t>
            </w:r>
          </w:p>
        </w:tc>
        <w:tc>
          <w:tcPr>
            <w:tcW w:w="4425" w:type="dxa"/>
          </w:tcPr>
          <w:p w14:paraId="689EC37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点击“市买”按涨停价委托限价单买入标的</w:t>
            </w:r>
          </w:p>
          <w:p w14:paraId="0062EA6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点击“市卖”按跌停价委托限价单卖出标的</w:t>
            </w:r>
          </w:p>
        </w:tc>
        <w:tc>
          <w:tcPr>
            <w:tcW w:w="2074" w:type="dxa"/>
          </w:tcPr>
          <w:p w14:paraId="37167A2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p>
        </w:tc>
      </w:tr>
      <w:tr w14:paraId="395EA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vAlign w:val="center"/>
          </w:tcPr>
          <w:p w14:paraId="71FDE4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买/卖</w:t>
            </w:r>
          </w:p>
        </w:tc>
        <w:tc>
          <w:tcPr>
            <w:tcW w:w="4425" w:type="dxa"/>
          </w:tcPr>
          <w:p w14:paraId="79A4E56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点击按钮，按委托价格输入框输入的价格买入/卖出标的</w:t>
            </w:r>
          </w:p>
        </w:tc>
        <w:tc>
          <w:tcPr>
            <w:tcW w:w="2074" w:type="dxa"/>
          </w:tcPr>
          <w:p w14:paraId="70EA419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p>
        </w:tc>
      </w:tr>
      <w:tr w14:paraId="7C2C3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vAlign w:val="center"/>
          </w:tcPr>
          <w:p w14:paraId="67B870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委托价格</w:t>
            </w:r>
          </w:p>
        </w:tc>
        <w:tc>
          <w:tcPr>
            <w:tcW w:w="4425" w:type="dxa"/>
          </w:tcPr>
          <w:p w14:paraId="098B5C4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数字输入框，选中标的后默认填充为最新价</w:t>
            </w:r>
          </w:p>
          <w:p w14:paraId="79DF6D4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支持手动修改</w:t>
            </w:r>
          </w:p>
        </w:tc>
        <w:tc>
          <w:tcPr>
            <w:tcW w:w="2074" w:type="dxa"/>
          </w:tcPr>
          <w:p w14:paraId="7475A8E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p>
        </w:tc>
      </w:tr>
      <w:tr w14:paraId="4BFF7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vAlign w:val="center"/>
          </w:tcPr>
          <w:p w14:paraId="198849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委托数量</w:t>
            </w:r>
          </w:p>
        </w:tc>
        <w:tc>
          <w:tcPr>
            <w:tcW w:w="4425" w:type="dxa"/>
          </w:tcPr>
          <w:p w14:paraId="39E76F6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默认为0，点击常用数量（+1/+5/+10/+20）则自动添加对应的委托数量</w:t>
            </w:r>
          </w:p>
        </w:tc>
        <w:tc>
          <w:tcPr>
            <w:tcW w:w="2074" w:type="dxa"/>
          </w:tcPr>
          <w:p w14:paraId="16757DD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p>
        </w:tc>
      </w:tr>
    </w:tbl>
    <w:p w14:paraId="784E47D6">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T型行情</w:t>
      </w:r>
    </w:p>
    <w:p w14:paraId="4E2129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T型行情支持沪深市场切换及合约标的切换，便于查看不同期权品种的行情。</w:t>
      </w:r>
    </w:p>
    <w:p w14:paraId="32C836A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drawing>
          <wp:inline distT="0" distB="0" distL="114300" distR="114300">
            <wp:extent cx="5266690" cy="2521585"/>
            <wp:effectExtent l="0" t="0" r="10160" b="1206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38"/>
                    <a:stretch>
                      <a:fillRect/>
                    </a:stretch>
                  </pic:blipFill>
                  <pic:spPr>
                    <a:xfrm>
                      <a:off x="0" y="0"/>
                      <a:ext cx="5266690" cy="2521585"/>
                    </a:xfrm>
                    <a:prstGeom prst="rect">
                      <a:avLst/>
                    </a:prstGeom>
                    <a:noFill/>
                    <a:ln>
                      <a:noFill/>
                    </a:ln>
                  </pic:spPr>
                </pic:pic>
              </a:graphicData>
            </a:graphic>
          </wp:inline>
        </w:drawing>
      </w:r>
    </w:p>
    <w:p w14:paraId="4C7AE75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rPr>
      </w:pPr>
      <w:r>
        <w:drawing>
          <wp:inline distT="0" distB="0" distL="114300" distR="114300">
            <wp:extent cx="5266690" cy="2445385"/>
            <wp:effectExtent l="0" t="0" r="10160" b="12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9"/>
                    <a:stretch>
                      <a:fillRect/>
                    </a:stretch>
                  </pic:blipFill>
                  <pic:spPr>
                    <a:xfrm>
                      <a:off x="0" y="0"/>
                      <a:ext cx="5266690" cy="2445385"/>
                    </a:xfrm>
                    <a:prstGeom prst="rect">
                      <a:avLst/>
                    </a:prstGeom>
                    <a:noFill/>
                    <a:ln>
                      <a:noFill/>
                    </a:ln>
                  </pic:spPr>
                </pic:pic>
              </a:graphicData>
            </a:graphic>
          </wp:inline>
        </w:drawing>
      </w:r>
    </w:p>
    <w:p w14:paraId="51D446D4">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委托明细&amp;成交明细</w:t>
      </w:r>
    </w:p>
    <w:p w14:paraId="7A7419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1、委托明细。</w:t>
      </w:r>
    </w:p>
    <w:p w14:paraId="012DDE60">
      <w:pPr>
        <w:rPr>
          <w:rFonts w:hint="eastAsia" w:ascii="宋体" w:hAnsi="宋体" w:eastAsia="宋体" w:cs="宋体"/>
          <w:lang w:val="en-US" w:eastAsia="zh-CN"/>
        </w:rPr>
      </w:pPr>
      <w:r>
        <w:rPr>
          <w:rFonts w:hint="eastAsia" w:ascii="宋体" w:hAnsi="宋体" w:eastAsia="宋体" w:cs="宋体"/>
        </w:rPr>
        <w:drawing>
          <wp:inline distT="0" distB="0" distL="114300" distR="114300">
            <wp:extent cx="5269230" cy="2043430"/>
            <wp:effectExtent l="0" t="0" r="7620" b="13970"/>
            <wp:docPr id="1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8"/>
                    <pic:cNvPicPr>
                      <a:picLocks noChangeAspect="1"/>
                    </pic:cNvPicPr>
                  </pic:nvPicPr>
                  <pic:blipFill>
                    <a:blip r:embed="rId40"/>
                    <a:stretch>
                      <a:fillRect/>
                    </a:stretch>
                  </pic:blipFill>
                  <pic:spPr>
                    <a:xfrm>
                      <a:off x="0" y="0"/>
                      <a:ext cx="5269230" cy="2043430"/>
                    </a:xfrm>
                    <a:prstGeom prst="rect">
                      <a:avLst/>
                    </a:prstGeom>
                    <a:noFill/>
                    <a:ln>
                      <a:noFill/>
                    </a:ln>
                  </pic:spPr>
                </pic:pic>
              </a:graphicData>
            </a:graphic>
          </wp:inline>
        </w:drawing>
      </w:r>
    </w:p>
    <w:p w14:paraId="1585D6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（1）委托明细列表当前交易面板选中资产账号当日的委托记录，支持资产账号、合约代码和委托状态（全部/可撤/废单）筛选委托列表。</w:t>
      </w:r>
    </w:p>
    <w:p w14:paraId="553CCB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（2）支持点击委托列栏上的快捷按钮，进行撤单、全撤操作。</w:t>
      </w:r>
    </w:p>
    <w:p w14:paraId="04EB74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撤单 &amp; 全撤：对未成交或部分成交的委托，进行“撤单”或者“全撤”操作。</w:t>
      </w:r>
    </w:p>
    <w:p w14:paraId="30E534E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（3）展示方式，默认展示明细，勾选“按篮子号汇总”则切换为按篮子号汇总展示委托明细</w:t>
      </w:r>
    </w:p>
    <w:p w14:paraId="4DEB83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2、成交明细。</w:t>
      </w:r>
    </w:p>
    <w:p w14:paraId="2A64A1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成交明细列表分别展示当前交易面板选中资产账号当日的成交记录。</w:t>
      </w:r>
    </w:p>
    <w:p w14:paraId="5D0C5A22">
      <w:pPr>
        <w:numPr>
          <w:ilvl w:val="0"/>
          <w:numId w:val="0"/>
        </w:numPr>
        <w:rPr>
          <w:rFonts w:hint="eastAsia" w:ascii="宋体" w:hAnsi="宋体" w:eastAsia="宋体" w:cs="宋体"/>
        </w:rPr>
      </w:pPr>
      <w:r>
        <w:rPr>
          <w:rFonts w:hint="eastAsia" w:ascii="宋体" w:hAnsi="宋体" w:eastAsia="宋体" w:cs="宋体"/>
        </w:rPr>
        <w:drawing>
          <wp:inline distT="0" distB="0" distL="114300" distR="114300">
            <wp:extent cx="5269230" cy="2043430"/>
            <wp:effectExtent l="0" t="0" r="7620" b="13970"/>
            <wp:docPr id="16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9"/>
                    <pic:cNvPicPr>
                      <a:picLocks noChangeAspect="1"/>
                    </pic:cNvPicPr>
                  </pic:nvPicPr>
                  <pic:blipFill>
                    <a:blip r:embed="rId41"/>
                    <a:stretch>
                      <a:fillRect/>
                    </a:stretch>
                  </pic:blipFill>
                  <pic:spPr>
                    <a:xfrm>
                      <a:off x="0" y="0"/>
                      <a:ext cx="5269230" cy="2043430"/>
                    </a:xfrm>
                    <a:prstGeom prst="rect">
                      <a:avLst/>
                    </a:prstGeom>
                    <a:noFill/>
                    <a:ln>
                      <a:noFill/>
                    </a:ln>
                  </pic:spPr>
                </pic:pic>
              </a:graphicData>
            </a:graphic>
          </wp:inline>
        </w:drawing>
      </w:r>
    </w:p>
    <w:p w14:paraId="0C1F9F38">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普通期权交易下单面板</w:t>
      </w:r>
    </w:p>
    <w:p w14:paraId="2C93DF1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交易面板分为行情盘口和委托下单两部分，行情盘口部分展示买卖五档实时行情的盘口信息，如图所示：</w:t>
      </w:r>
    </w:p>
    <w:p w14:paraId="3A101EF3">
      <w:pPr>
        <w:numPr>
          <w:ilvl w:val="0"/>
          <w:numId w:val="0"/>
        </w:numPr>
        <w:jc w:val="center"/>
        <w:rPr>
          <w:rFonts w:hint="eastAsia" w:ascii="宋体" w:hAnsi="宋体" w:eastAsia="宋体" w:cs="宋体"/>
        </w:rPr>
      </w:pPr>
      <w:r>
        <w:rPr>
          <w:rFonts w:hint="eastAsia" w:ascii="宋体" w:hAnsi="宋体" w:eastAsia="宋体" w:cs="宋体"/>
        </w:rPr>
        <w:drawing>
          <wp:inline distT="0" distB="0" distL="114300" distR="114300">
            <wp:extent cx="5269230" cy="3048000"/>
            <wp:effectExtent l="0" t="0" r="7620" b="0"/>
            <wp:docPr id="16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30"/>
                    <pic:cNvPicPr>
                      <a:picLocks noChangeAspect="1"/>
                    </pic:cNvPicPr>
                  </pic:nvPicPr>
                  <pic:blipFill>
                    <a:blip r:embed="rId42"/>
                    <a:stretch>
                      <a:fillRect/>
                    </a:stretch>
                  </pic:blipFill>
                  <pic:spPr>
                    <a:xfrm>
                      <a:off x="0" y="0"/>
                      <a:ext cx="5269230" cy="3048000"/>
                    </a:xfrm>
                    <a:prstGeom prst="rect">
                      <a:avLst/>
                    </a:prstGeom>
                    <a:noFill/>
                    <a:ln>
                      <a:noFill/>
                    </a:ln>
                  </pic:spPr>
                </pic:pic>
              </a:graphicData>
            </a:graphic>
          </wp:inline>
        </w:drawing>
      </w:r>
    </w:p>
    <w:p w14:paraId="709B02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委托下单的操作流程包括以下步骤：   </w:t>
      </w:r>
    </w:p>
    <w:p w14:paraId="1C17C7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1. 选择资产账号，通过点击下拉框选择当前用户关联的期货资产账号。当切换资产账号时，资金列表、委托明细、成交明细、持仓明细等信息都将同步切换为当前选中的资产账号的数据信息。  </w:t>
      </w:r>
    </w:p>
    <w:p w14:paraId="32D0F9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2.输入交易要素，包括合约代码、委托数量和委托价格三大要素。</w:t>
      </w:r>
    </w:p>
    <w:p w14:paraId="28DFC1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（1）合约代码支持手工输入或双击行情（包括左侧行情盘口、T型行情）获取。</w:t>
      </w:r>
    </w:p>
    <w:p w14:paraId="75E08E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（2）委托价格支持限价和市价。</w:t>
      </w:r>
    </w:p>
    <w:p w14:paraId="50BF68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限价是指用户输入的固定价格。</w:t>
      </w:r>
    </w:p>
    <w:p w14:paraId="6B866E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市价是指用户按市价指令下单，支持即时成交剩余转限价，即时成交剩余撤销，剩余转限价等。</w:t>
      </w:r>
    </w:p>
    <w:p w14:paraId="4428C1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3.下单，支持买开、卖开、买平、卖平4种交易方向下单。</w:t>
      </w:r>
    </w:p>
    <w:p w14:paraId="00C8AECE">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highlight w:val="none"/>
          <w:lang w:val="en-US" w:eastAsia="zh-CN"/>
        </w:rPr>
      </w:pPr>
      <w:bookmarkStart w:id="19" w:name="_Toc2178"/>
      <w:r>
        <w:rPr>
          <w:rFonts w:hint="eastAsia" w:ascii="宋体" w:hAnsi="宋体" w:eastAsia="宋体" w:cs="宋体"/>
          <w:sz w:val="28"/>
          <w:szCs w:val="28"/>
          <w:highlight w:val="none"/>
          <w:lang w:val="en-US" w:eastAsia="zh-CN"/>
        </w:rPr>
        <w:t>期货交易</w:t>
      </w:r>
      <w:bookmarkEnd w:id="19"/>
    </w:p>
    <w:p w14:paraId="1A3984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highlight w:val="none"/>
          <w:lang w:val="en-US" w:eastAsia="zh-CN"/>
        </w:rPr>
        <w:t>期货交易提供期货基础交易功能，支持</w:t>
      </w:r>
      <w:r>
        <w:rPr>
          <w:rFonts w:hint="default" w:ascii="宋体" w:hAnsi="宋体" w:eastAsia="宋体" w:cs="宋体"/>
          <w:highlight w:val="none"/>
          <w:lang w:val="en-US" w:eastAsia="zh-CN"/>
        </w:rPr>
        <w:t>中金</w:t>
      </w:r>
      <w:r>
        <w:rPr>
          <w:rFonts w:hint="eastAsia" w:ascii="宋体" w:hAnsi="宋体" w:eastAsia="宋体" w:cs="宋体"/>
          <w:highlight w:val="none"/>
          <w:lang w:val="en-US" w:eastAsia="zh-CN"/>
        </w:rPr>
        <w:t>所、</w:t>
      </w:r>
      <w:r>
        <w:rPr>
          <w:rFonts w:hint="default" w:ascii="宋体" w:hAnsi="宋体" w:eastAsia="宋体" w:cs="宋体"/>
          <w:highlight w:val="none"/>
          <w:lang w:val="en-US" w:eastAsia="zh-CN"/>
        </w:rPr>
        <w:t>大商</w:t>
      </w:r>
      <w:r>
        <w:rPr>
          <w:rFonts w:hint="eastAsia" w:ascii="宋体" w:hAnsi="宋体" w:eastAsia="宋体" w:cs="宋体"/>
          <w:highlight w:val="none"/>
          <w:lang w:val="en-US" w:eastAsia="zh-CN"/>
        </w:rPr>
        <w:t>所、</w:t>
      </w:r>
      <w:r>
        <w:rPr>
          <w:rFonts w:hint="default" w:ascii="宋体" w:hAnsi="宋体" w:eastAsia="宋体" w:cs="宋体"/>
          <w:highlight w:val="none"/>
          <w:lang w:val="en-US" w:eastAsia="zh-CN"/>
        </w:rPr>
        <w:t>郑商</w:t>
      </w:r>
      <w:r>
        <w:rPr>
          <w:rFonts w:hint="eastAsia" w:ascii="宋体" w:hAnsi="宋体" w:eastAsia="宋体" w:cs="宋体"/>
          <w:highlight w:val="none"/>
          <w:lang w:val="en-US" w:eastAsia="zh-CN"/>
        </w:rPr>
        <w:t>所、</w:t>
      </w:r>
      <w:r>
        <w:rPr>
          <w:rFonts w:hint="default" w:ascii="宋体" w:hAnsi="宋体" w:eastAsia="宋体" w:cs="宋体"/>
          <w:highlight w:val="none"/>
          <w:lang w:val="en-US" w:eastAsia="zh-CN"/>
        </w:rPr>
        <w:t>上能源</w:t>
      </w:r>
      <w:r>
        <w:rPr>
          <w:rFonts w:hint="eastAsia" w:ascii="宋体" w:hAnsi="宋体" w:eastAsia="宋体" w:cs="宋体"/>
          <w:highlight w:val="none"/>
          <w:lang w:val="en-US" w:eastAsia="zh-CN"/>
        </w:rPr>
        <w:t>、</w:t>
      </w:r>
      <w:r>
        <w:rPr>
          <w:rFonts w:hint="default" w:ascii="宋体" w:hAnsi="宋体" w:eastAsia="宋体" w:cs="宋体"/>
          <w:highlight w:val="none"/>
          <w:lang w:val="en-US" w:eastAsia="zh-CN"/>
        </w:rPr>
        <w:t>上期</w:t>
      </w:r>
      <w:r>
        <w:rPr>
          <w:rFonts w:hint="eastAsia" w:ascii="宋体" w:hAnsi="宋体" w:eastAsia="宋体" w:cs="宋体"/>
          <w:highlight w:val="none"/>
          <w:lang w:val="en-US" w:eastAsia="zh-CN"/>
        </w:rPr>
        <w:t>所、</w:t>
      </w:r>
      <w:r>
        <w:rPr>
          <w:rFonts w:hint="default" w:ascii="宋体" w:hAnsi="宋体" w:eastAsia="宋体" w:cs="宋体"/>
          <w:highlight w:val="none"/>
          <w:lang w:val="en-US" w:eastAsia="zh-CN"/>
        </w:rPr>
        <w:t>广期</w:t>
      </w:r>
      <w:r>
        <w:rPr>
          <w:rFonts w:hint="eastAsia" w:ascii="宋体" w:hAnsi="宋体" w:eastAsia="宋体" w:cs="宋体"/>
          <w:highlight w:val="none"/>
          <w:lang w:val="en-US" w:eastAsia="zh-CN"/>
        </w:rPr>
        <w:t>所等六大交易所的所有期货品种的交易。该模块包含：资金列表、自选行情列表、交易面</w:t>
      </w:r>
      <w:r>
        <w:rPr>
          <w:rFonts w:hint="eastAsia" w:ascii="宋体" w:hAnsi="宋体" w:eastAsia="宋体" w:cs="宋体"/>
          <w:lang w:val="en-US" w:eastAsia="zh-CN"/>
        </w:rPr>
        <w:t>板、委托明细、成交明细、持仓明细等六大功能模块，界面如下：</w:t>
      </w:r>
    </w:p>
    <w:p w14:paraId="6AF437FC">
      <w:pPr>
        <w:rPr>
          <w:rFonts w:hint="eastAsia" w:ascii="宋体" w:hAnsi="宋体" w:eastAsia="宋体" w:cs="宋体"/>
        </w:rPr>
      </w:pPr>
      <w:r>
        <w:rPr>
          <w:rFonts w:hint="eastAsia" w:ascii="宋体" w:hAnsi="宋体" w:eastAsia="宋体" w:cs="宋体"/>
        </w:rPr>
        <w:drawing>
          <wp:inline distT="0" distB="0" distL="114300" distR="114300">
            <wp:extent cx="5266690" cy="2657475"/>
            <wp:effectExtent l="0" t="0" r="0" b="0"/>
            <wp:docPr id="16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31"/>
                    <pic:cNvPicPr>
                      <a:picLocks noChangeAspect="1"/>
                    </pic:cNvPicPr>
                  </pic:nvPicPr>
                  <pic:blipFill>
                    <a:blip r:embed="rId43"/>
                    <a:srcRect t="6855"/>
                    <a:stretch>
                      <a:fillRect/>
                    </a:stretch>
                  </pic:blipFill>
                  <pic:spPr>
                    <a:xfrm>
                      <a:off x="0" y="0"/>
                      <a:ext cx="5266690" cy="2657475"/>
                    </a:xfrm>
                    <a:prstGeom prst="rect">
                      <a:avLst/>
                    </a:prstGeom>
                    <a:noFill/>
                    <a:ln>
                      <a:noFill/>
                    </a:ln>
                  </pic:spPr>
                </pic:pic>
              </a:graphicData>
            </a:graphic>
          </wp:inline>
        </w:drawing>
      </w:r>
    </w:p>
    <w:p w14:paraId="2CA2823B">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资金列表</w:t>
      </w:r>
    </w:p>
    <w:p w14:paraId="441E77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展示当前下单面板中选中的期货账户的资金信息。</w:t>
      </w:r>
    </w:p>
    <w:p w14:paraId="3D5CFCB5">
      <w:pPr>
        <w:rPr>
          <w:rFonts w:hint="eastAsia" w:ascii="宋体" w:hAnsi="宋体" w:eastAsia="宋体" w:cs="宋体"/>
        </w:rPr>
      </w:pPr>
      <w:r>
        <w:rPr>
          <w:rFonts w:hint="eastAsia" w:ascii="宋体" w:hAnsi="宋体" w:eastAsia="宋体" w:cs="宋体"/>
        </w:rPr>
        <w:drawing>
          <wp:inline distT="0" distB="0" distL="114300" distR="114300">
            <wp:extent cx="5274310" cy="520065"/>
            <wp:effectExtent l="0" t="0" r="2540" b="13335"/>
            <wp:docPr id="16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32"/>
                    <pic:cNvPicPr>
                      <a:picLocks noChangeAspect="1"/>
                    </pic:cNvPicPr>
                  </pic:nvPicPr>
                  <pic:blipFill>
                    <a:blip r:embed="rId44"/>
                    <a:stretch>
                      <a:fillRect/>
                    </a:stretch>
                  </pic:blipFill>
                  <pic:spPr>
                    <a:xfrm>
                      <a:off x="0" y="0"/>
                      <a:ext cx="5274310" cy="520065"/>
                    </a:xfrm>
                    <a:prstGeom prst="rect">
                      <a:avLst/>
                    </a:prstGeom>
                    <a:noFill/>
                    <a:ln>
                      <a:noFill/>
                    </a:ln>
                  </pic:spPr>
                </pic:pic>
              </a:graphicData>
            </a:graphic>
          </wp:inline>
        </w:drawing>
      </w:r>
    </w:p>
    <w:p w14:paraId="23B19A71">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自选行情列表</w:t>
      </w:r>
    </w:p>
    <w:p w14:paraId="7B2C88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自选合约实时行情，可以通过在行情列表的右上角搜索框输入合约代码添加自选合约，搜索框支持模糊匹配。</w:t>
      </w:r>
    </w:p>
    <w:p w14:paraId="5BB567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支持鼠标右击已添加的自选合约进行上移、下移、置顶、置底、删除等排序操作（如下图所示）。</w:t>
      </w:r>
    </w:p>
    <w:p w14:paraId="73C2F0EC">
      <w:pPr>
        <w:jc w:val="center"/>
        <w:rPr>
          <w:rFonts w:hint="eastAsia" w:ascii="宋体" w:hAnsi="宋体" w:eastAsia="宋体" w:cs="宋体"/>
        </w:rPr>
      </w:pPr>
      <w:r>
        <w:rPr>
          <w:rFonts w:hint="eastAsia" w:ascii="宋体" w:hAnsi="宋体" w:eastAsia="宋体" w:cs="宋体"/>
        </w:rPr>
        <w:drawing>
          <wp:inline distT="0" distB="0" distL="114300" distR="114300">
            <wp:extent cx="5264785" cy="2165985"/>
            <wp:effectExtent l="0" t="0" r="12065" b="5715"/>
            <wp:docPr id="16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33"/>
                    <pic:cNvPicPr>
                      <a:picLocks noChangeAspect="1"/>
                    </pic:cNvPicPr>
                  </pic:nvPicPr>
                  <pic:blipFill>
                    <a:blip r:embed="rId45"/>
                    <a:stretch>
                      <a:fillRect/>
                    </a:stretch>
                  </pic:blipFill>
                  <pic:spPr>
                    <a:xfrm>
                      <a:off x="0" y="0"/>
                      <a:ext cx="5264785" cy="2165985"/>
                    </a:xfrm>
                    <a:prstGeom prst="rect">
                      <a:avLst/>
                    </a:prstGeom>
                    <a:noFill/>
                    <a:ln>
                      <a:noFill/>
                    </a:ln>
                  </pic:spPr>
                </pic:pic>
              </a:graphicData>
            </a:graphic>
          </wp:inline>
        </w:drawing>
      </w:r>
    </w:p>
    <w:p w14:paraId="08770E0B">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交易面板</w:t>
      </w:r>
    </w:p>
    <w:p w14:paraId="72D184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交易面板分为行情盘口和委托下单两部分。行情盘口部分展示买卖五档实时行情的盘口信息，如图所示：</w:t>
      </w:r>
    </w:p>
    <w:p w14:paraId="16D9566C">
      <w:pPr>
        <w:jc w:val="center"/>
        <w:rPr>
          <w:rFonts w:hint="eastAsia" w:ascii="宋体" w:hAnsi="宋体" w:eastAsia="宋体" w:cs="宋体"/>
        </w:rPr>
      </w:pPr>
      <w:r>
        <w:rPr>
          <w:rFonts w:hint="eastAsia" w:ascii="宋体" w:hAnsi="宋体" w:eastAsia="宋体" w:cs="宋体"/>
        </w:rPr>
        <w:drawing>
          <wp:inline distT="0" distB="0" distL="114300" distR="114300">
            <wp:extent cx="4702175" cy="3370580"/>
            <wp:effectExtent l="0" t="0" r="4445" b="8255"/>
            <wp:docPr id="16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34"/>
                    <pic:cNvPicPr>
                      <a:picLocks noChangeAspect="1"/>
                    </pic:cNvPicPr>
                  </pic:nvPicPr>
                  <pic:blipFill>
                    <a:blip r:embed="rId46"/>
                    <a:stretch>
                      <a:fillRect/>
                    </a:stretch>
                  </pic:blipFill>
                  <pic:spPr>
                    <a:xfrm>
                      <a:off x="0" y="0"/>
                      <a:ext cx="4702175" cy="3370580"/>
                    </a:xfrm>
                    <a:prstGeom prst="rect">
                      <a:avLst/>
                    </a:prstGeom>
                    <a:noFill/>
                    <a:ln>
                      <a:noFill/>
                    </a:ln>
                  </pic:spPr>
                </pic:pic>
              </a:graphicData>
            </a:graphic>
          </wp:inline>
        </w:drawing>
      </w:r>
    </w:p>
    <w:p w14:paraId="6A870C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委托下单的操作流程包括以下步骤：</w:t>
      </w:r>
    </w:p>
    <w:p w14:paraId="208DB5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1.选择资产账号，通过点击下拉框选择当前用户关联的期货资产账号。当切换资产账号时，资金列表、委托明细、成交明细、持仓明细等信息都将同步切换为当前选中的资产账号的数据信息。</w:t>
      </w:r>
    </w:p>
    <w:p w14:paraId="2AE3E2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2.输入交易要素，包括合约代码、委托数量和委托价格三大要素。</w:t>
      </w:r>
    </w:p>
    <w:p w14:paraId="446FEF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（1）合约代码支持手工输入或点击行情获取（包括点击五档行情价格或点击自选行情列表）。</w:t>
      </w:r>
    </w:p>
    <w:p w14:paraId="38CA90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（2）委托价格支持指定价和跟盘价，指定价是指用户输入的固定价格，跟盘价是指跟随盘面行情实时变动的价格，最终取值以下单确认时刻的盘面价为准。</w:t>
      </w:r>
    </w:p>
    <w:p w14:paraId="08829E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跟盘价取值说明：</w:t>
      </w:r>
    </w:p>
    <w:p w14:paraId="236F92E9">
      <w:pPr>
        <w:numPr>
          <w:ilvl w:val="0"/>
          <w:numId w:val="0"/>
        </w:numPr>
        <w:rPr>
          <w:rFonts w:hint="eastAsia" w:ascii="宋体" w:hAnsi="宋体" w:eastAsia="宋体" w:cs="宋体"/>
          <w:lang w:val="en-US" w:eastAsia="zh-CN"/>
        </w:rPr>
      </w:pPr>
    </w:p>
    <w:tbl>
      <w:tblPr>
        <w:tblStyle w:val="20"/>
        <w:tblpPr w:vertAnchor="text" w:horzAnchor="page" w:tblpX="1800" w:tblpY="-270"/>
        <w:tblOverlap w:val="never"/>
        <w:tblW w:w="8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74"/>
        <w:gridCol w:w="2668"/>
        <w:gridCol w:w="1895"/>
        <w:gridCol w:w="2250"/>
      </w:tblGrid>
      <w:tr w14:paraId="43713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trPr>
        <w:tc>
          <w:tcPr>
            <w:tcW w:w="1474" w:type="dxa"/>
          </w:tcPr>
          <w:p w14:paraId="45AA2F97">
            <w:pPr>
              <w:ind w:firstLine="112"/>
              <w:jc w:val="center"/>
              <w:rPr>
                <w:rFonts w:hint="eastAsia" w:ascii="宋体" w:hAnsi="宋体" w:eastAsia="宋体" w:cs="宋体"/>
                <w:b/>
                <w:bCs/>
                <w:color w:val="010302"/>
              </w:rPr>
            </w:pPr>
            <w:r>
              <w:rPr>
                <w:rFonts w:hint="eastAsia" w:ascii="宋体" w:hAnsi="宋体" w:eastAsia="宋体" w:cs="宋体"/>
                <w:b/>
                <w:bCs/>
                <w:color w:val="000000"/>
                <w:sz w:val="18"/>
                <w:szCs w:val="18"/>
              </w:rPr>
              <w:t>跟盘价</w:t>
            </w:r>
          </w:p>
        </w:tc>
        <w:tc>
          <w:tcPr>
            <w:tcW w:w="2668" w:type="dxa"/>
          </w:tcPr>
          <w:p w14:paraId="58F0A11B">
            <w:pPr>
              <w:ind w:firstLine="113"/>
              <w:jc w:val="center"/>
              <w:rPr>
                <w:rFonts w:hint="eastAsia" w:ascii="宋体" w:hAnsi="宋体" w:eastAsia="宋体" w:cs="宋体"/>
                <w:b/>
                <w:bCs/>
                <w:color w:val="010302"/>
              </w:rPr>
            </w:pPr>
            <w:r>
              <w:rPr>
                <w:rFonts w:hint="eastAsia" w:ascii="宋体" w:hAnsi="宋体" w:eastAsia="宋体" w:cs="宋体"/>
                <w:b/>
                <w:bCs/>
                <w:color w:val="000000"/>
                <w:sz w:val="18"/>
                <w:szCs w:val="18"/>
              </w:rPr>
              <w:t>买单</w:t>
            </w:r>
          </w:p>
        </w:tc>
        <w:tc>
          <w:tcPr>
            <w:tcW w:w="1895" w:type="dxa"/>
          </w:tcPr>
          <w:p w14:paraId="1014D0B5">
            <w:pPr>
              <w:ind w:firstLine="113"/>
              <w:jc w:val="center"/>
              <w:rPr>
                <w:rFonts w:hint="eastAsia" w:ascii="宋体" w:hAnsi="宋体" w:eastAsia="宋体" w:cs="宋体"/>
                <w:b/>
                <w:bCs/>
                <w:color w:val="010302"/>
              </w:rPr>
            </w:pPr>
            <w:r>
              <w:rPr>
                <w:rFonts w:hint="eastAsia" w:ascii="宋体" w:hAnsi="宋体" w:eastAsia="宋体" w:cs="宋体"/>
                <w:b/>
                <w:bCs/>
                <w:color w:val="000000"/>
                <w:sz w:val="18"/>
                <w:szCs w:val="18"/>
              </w:rPr>
              <w:t>卖单</w:t>
            </w:r>
          </w:p>
        </w:tc>
        <w:tc>
          <w:tcPr>
            <w:tcW w:w="2250" w:type="dxa"/>
          </w:tcPr>
          <w:p w14:paraId="2929278D">
            <w:pPr>
              <w:ind w:firstLine="113"/>
              <w:jc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备注</w:t>
            </w:r>
          </w:p>
        </w:tc>
      </w:tr>
      <w:tr w14:paraId="3AF2E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1474" w:type="dxa"/>
          </w:tcPr>
          <w:p w14:paraId="7733594E">
            <w:pPr>
              <w:ind w:firstLine="112"/>
              <w:jc w:val="center"/>
              <w:rPr>
                <w:rFonts w:hint="eastAsia" w:ascii="宋体" w:hAnsi="宋体" w:eastAsia="宋体" w:cs="宋体"/>
                <w:color w:val="010302"/>
              </w:rPr>
            </w:pPr>
            <w:r>
              <w:rPr>
                <w:rFonts w:hint="eastAsia" w:ascii="宋体" w:hAnsi="宋体" w:eastAsia="宋体" w:cs="宋体"/>
                <w:color w:val="000000"/>
                <w:sz w:val="18"/>
                <w:szCs w:val="18"/>
              </w:rPr>
              <w:t>对手价</w:t>
            </w:r>
          </w:p>
        </w:tc>
        <w:tc>
          <w:tcPr>
            <w:tcW w:w="2668" w:type="dxa"/>
          </w:tcPr>
          <w:p w14:paraId="4FF080F0">
            <w:pPr>
              <w:ind w:firstLine="113"/>
              <w:jc w:val="center"/>
              <w:rPr>
                <w:rFonts w:hint="eastAsia" w:ascii="宋体" w:hAnsi="宋体" w:eastAsia="宋体" w:cs="宋体"/>
                <w:color w:val="010302"/>
              </w:rPr>
            </w:pPr>
            <w:r>
              <w:rPr>
                <w:rFonts w:hint="eastAsia" w:ascii="宋体" w:hAnsi="宋体" w:eastAsia="宋体" w:cs="宋体"/>
                <w:color w:val="000000"/>
                <w:sz w:val="18"/>
                <w:szCs w:val="18"/>
              </w:rPr>
              <w:t>卖一价</w:t>
            </w:r>
          </w:p>
        </w:tc>
        <w:tc>
          <w:tcPr>
            <w:tcW w:w="1895" w:type="dxa"/>
          </w:tcPr>
          <w:p w14:paraId="58D3F635">
            <w:pPr>
              <w:ind w:firstLine="113"/>
              <w:jc w:val="center"/>
              <w:rPr>
                <w:rFonts w:hint="eastAsia" w:ascii="宋体" w:hAnsi="宋体" w:eastAsia="宋体" w:cs="宋体"/>
                <w:color w:val="010302"/>
              </w:rPr>
            </w:pPr>
            <w:r>
              <w:rPr>
                <w:rFonts w:hint="eastAsia" w:ascii="宋体" w:hAnsi="宋体" w:eastAsia="宋体" w:cs="宋体"/>
                <w:color w:val="000000"/>
                <w:sz w:val="18"/>
                <w:szCs w:val="18"/>
              </w:rPr>
              <w:t>买一价</w:t>
            </w:r>
          </w:p>
        </w:tc>
        <w:tc>
          <w:tcPr>
            <w:tcW w:w="2250" w:type="dxa"/>
          </w:tcPr>
          <w:p w14:paraId="427F69FD">
            <w:pPr>
              <w:ind w:firstLine="113"/>
              <w:jc w:val="center"/>
              <w:rPr>
                <w:rFonts w:hint="eastAsia" w:ascii="宋体" w:hAnsi="宋体" w:eastAsia="宋体" w:cs="宋体"/>
                <w:color w:val="000000"/>
                <w:sz w:val="18"/>
                <w:szCs w:val="18"/>
              </w:rPr>
            </w:pPr>
          </w:p>
        </w:tc>
      </w:tr>
      <w:tr w14:paraId="08BEA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1474" w:type="dxa"/>
          </w:tcPr>
          <w:p w14:paraId="213E402C">
            <w:pPr>
              <w:ind w:firstLine="112"/>
              <w:jc w:val="center"/>
              <w:rPr>
                <w:rFonts w:hint="eastAsia" w:ascii="宋体" w:hAnsi="宋体" w:eastAsia="宋体" w:cs="宋体"/>
                <w:color w:val="010302"/>
              </w:rPr>
            </w:pPr>
            <w:r>
              <w:rPr>
                <w:rFonts w:hint="eastAsia" w:ascii="宋体" w:hAnsi="宋体" w:eastAsia="宋体" w:cs="宋体"/>
                <w:color w:val="000000"/>
                <w:sz w:val="18"/>
                <w:szCs w:val="18"/>
              </w:rPr>
              <w:t>最新价</w:t>
            </w:r>
          </w:p>
        </w:tc>
        <w:tc>
          <w:tcPr>
            <w:tcW w:w="2668" w:type="dxa"/>
          </w:tcPr>
          <w:p w14:paraId="0DD8273F">
            <w:pPr>
              <w:ind w:firstLine="113"/>
              <w:jc w:val="center"/>
              <w:rPr>
                <w:rFonts w:hint="eastAsia" w:ascii="宋体" w:hAnsi="宋体" w:eastAsia="宋体" w:cs="宋体"/>
                <w:color w:val="010302"/>
              </w:rPr>
            </w:pPr>
            <w:r>
              <w:rPr>
                <w:rFonts w:hint="eastAsia" w:ascii="宋体" w:hAnsi="宋体" w:eastAsia="宋体" w:cs="宋体"/>
                <w:color w:val="000000"/>
                <w:sz w:val="18"/>
                <w:szCs w:val="18"/>
              </w:rPr>
              <w:t>最新价</w:t>
            </w:r>
          </w:p>
        </w:tc>
        <w:tc>
          <w:tcPr>
            <w:tcW w:w="1895" w:type="dxa"/>
          </w:tcPr>
          <w:p w14:paraId="11B49DDB">
            <w:pPr>
              <w:ind w:firstLine="113"/>
              <w:jc w:val="center"/>
              <w:rPr>
                <w:rFonts w:hint="eastAsia" w:ascii="宋体" w:hAnsi="宋体" w:eastAsia="宋体" w:cs="宋体"/>
                <w:color w:val="010302"/>
              </w:rPr>
            </w:pPr>
            <w:r>
              <w:rPr>
                <w:rFonts w:hint="eastAsia" w:ascii="宋体" w:hAnsi="宋体" w:eastAsia="宋体" w:cs="宋体"/>
                <w:color w:val="000000"/>
                <w:sz w:val="18"/>
                <w:szCs w:val="18"/>
              </w:rPr>
              <w:t>最新价</w:t>
            </w:r>
          </w:p>
        </w:tc>
        <w:tc>
          <w:tcPr>
            <w:tcW w:w="2250" w:type="dxa"/>
          </w:tcPr>
          <w:p w14:paraId="2719297B">
            <w:pPr>
              <w:ind w:firstLine="113"/>
              <w:jc w:val="center"/>
              <w:rPr>
                <w:rFonts w:hint="eastAsia" w:ascii="宋体" w:hAnsi="宋体" w:eastAsia="宋体" w:cs="宋体"/>
                <w:color w:val="000000"/>
                <w:sz w:val="18"/>
                <w:szCs w:val="18"/>
              </w:rPr>
            </w:pPr>
          </w:p>
        </w:tc>
      </w:tr>
      <w:tr w14:paraId="243A6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1474" w:type="dxa"/>
          </w:tcPr>
          <w:p w14:paraId="01CAC324">
            <w:pPr>
              <w:ind w:firstLine="112"/>
              <w:jc w:val="center"/>
              <w:rPr>
                <w:rFonts w:hint="eastAsia" w:ascii="宋体" w:hAnsi="宋体" w:eastAsia="宋体" w:cs="宋体"/>
                <w:color w:val="010302"/>
              </w:rPr>
            </w:pPr>
            <w:r>
              <w:rPr>
                <w:rFonts w:hint="eastAsia" w:ascii="宋体" w:hAnsi="宋体" w:eastAsia="宋体" w:cs="宋体"/>
                <w:color w:val="000000"/>
                <w:sz w:val="18"/>
                <w:szCs w:val="18"/>
              </w:rPr>
              <w:t>挂单价</w:t>
            </w:r>
          </w:p>
        </w:tc>
        <w:tc>
          <w:tcPr>
            <w:tcW w:w="2668" w:type="dxa"/>
          </w:tcPr>
          <w:p w14:paraId="02E2168D">
            <w:pPr>
              <w:ind w:firstLine="113"/>
              <w:jc w:val="center"/>
              <w:rPr>
                <w:rFonts w:hint="eastAsia" w:ascii="宋体" w:hAnsi="宋体" w:eastAsia="宋体" w:cs="宋体"/>
                <w:color w:val="010302"/>
              </w:rPr>
            </w:pPr>
            <w:r>
              <w:rPr>
                <w:rFonts w:hint="eastAsia" w:ascii="宋体" w:hAnsi="宋体" w:eastAsia="宋体" w:cs="宋体"/>
                <w:color w:val="000000"/>
                <w:sz w:val="18"/>
                <w:szCs w:val="18"/>
              </w:rPr>
              <w:t>买一价</w:t>
            </w:r>
          </w:p>
        </w:tc>
        <w:tc>
          <w:tcPr>
            <w:tcW w:w="1895" w:type="dxa"/>
          </w:tcPr>
          <w:p w14:paraId="6EB5498F">
            <w:pPr>
              <w:ind w:firstLine="113"/>
              <w:jc w:val="center"/>
              <w:rPr>
                <w:rFonts w:hint="eastAsia" w:ascii="宋体" w:hAnsi="宋体" w:eastAsia="宋体" w:cs="宋体"/>
                <w:color w:val="010302"/>
              </w:rPr>
            </w:pPr>
            <w:r>
              <w:rPr>
                <w:rFonts w:hint="eastAsia" w:ascii="宋体" w:hAnsi="宋体" w:eastAsia="宋体" w:cs="宋体"/>
                <w:color w:val="000000"/>
                <w:sz w:val="18"/>
                <w:szCs w:val="18"/>
              </w:rPr>
              <w:t>卖一价</w:t>
            </w:r>
          </w:p>
        </w:tc>
        <w:tc>
          <w:tcPr>
            <w:tcW w:w="2250" w:type="dxa"/>
          </w:tcPr>
          <w:p w14:paraId="6615B655">
            <w:pPr>
              <w:ind w:firstLine="113"/>
              <w:jc w:val="center"/>
              <w:rPr>
                <w:rFonts w:hint="eastAsia" w:ascii="宋体" w:hAnsi="宋体" w:eastAsia="宋体" w:cs="宋体"/>
                <w:color w:val="000000"/>
                <w:sz w:val="18"/>
                <w:szCs w:val="18"/>
              </w:rPr>
            </w:pPr>
          </w:p>
        </w:tc>
      </w:tr>
      <w:tr w14:paraId="5F5FD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1474" w:type="dxa"/>
          </w:tcPr>
          <w:p w14:paraId="1A68974B">
            <w:pPr>
              <w:ind w:firstLine="112"/>
              <w:jc w:val="center"/>
              <w:rPr>
                <w:rFonts w:hint="eastAsia" w:ascii="宋体" w:hAnsi="宋体" w:eastAsia="宋体" w:cs="宋体"/>
                <w:color w:val="010302"/>
              </w:rPr>
            </w:pPr>
            <w:r>
              <w:rPr>
                <w:rFonts w:hint="eastAsia" w:ascii="宋体" w:hAnsi="宋体" w:eastAsia="宋体" w:cs="宋体"/>
                <w:color w:val="000000"/>
                <w:sz w:val="18"/>
                <w:szCs w:val="18"/>
              </w:rPr>
              <w:t>涨跌停价</w:t>
            </w:r>
          </w:p>
        </w:tc>
        <w:tc>
          <w:tcPr>
            <w:tcW w:w="2668" w:type="dxa"/>
          </w:tcPr>
          <w:p w14:paraId="735A9CCD">
            <w:pPr>
              <w:ind w:firstLine="113"/>
              <w:jc w:val="center"/>
              <w:rPr>
                <w:rFonts w:hint="eastAsia" w:ascii="宋体" w:hAnsi="宋体" w:eastAsia="宋体" w:cs="宋体"/>
                <w:color w:val="010302"/>
              </w:rPr>
            </w:pPr>
            <w:r>
              <w:rPr>
                <w:rFonts w:hint="eastAsia" w:ascii="宋体" w:hAnsi="宋体" w:eastAsia="宋体" w:cs="宋体"/>
                <w:color w:val="000000"/>
                <w:sz w:val="18"/>
                <w:szCs w:val="18"/>
              </w:rPr>
              <w:t>涨停价</w:t>
            </w:r>
          </w:p>
        </w:tc>
        <w:tc>
          <w:tcPr>
            <w:tcW w:w="1895" w:type="dxa"/>
          </w:tcPr>
          <w:p w14:paraId="586492B5">
            <w:pPr>
              <w:ind w:firstLine="113"/>
              <w:jc w:val="center"/>
              <w:rPr>
                <w:rFonts w:hint="eastAsia" w:ascii="宋体" w:hAnsi="宋体" w:eastAsia="宋体" w:cs="宋体"/>
                <w:color w:val="010302"/>
              </w:rPr>
            </w:pPr>
            <w:r>
              <w:rPr>
                <w:rFonts w:hint="eastAsia" w:ascii="宋体" w:hAnsi="宋体" w:eastAsia="宋体" w:cs="宋体"/>
                <w:color w:val="000000"/>
                <w:sz w:val="18"/>
                <w:szCs w:val="18"/>
              </w:rPr>
              <w:t>跌停价</w:t>
            </w:r>
          </w:p>
        </w:tc>
        <w:tc>
          <w:tcPr>
            <w:tcW w:w="2250" w:type="dxa"/>
          </w:tcPr>
          <w:p w14:paraId="7F7A4586">
            <w:pPr>
              <w:ind w:firstLine="113"/>
              <w:jc w:val="center"/>
              <w:rPr>
                <w:rFonts w:hint="eastAsia" w:ascii="宋体" w:hAnsi="宋体" w:eastAsia="宋体" w:cs="宋体"/>
                <w:color w:val="000000"/>
                <w:sz w:val="18"/>
                <w:szCs w:val="18"/>
              </w:rPr>
            </w:pPr>
          </w:p>
        </w:tc>
      </w:tr>
      <w:tr w14:paraId="07AEA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1474" w:type="dxa"/>
          </w:tcPr>
          <w:p w14:paraId="2C267F28">
            <w:pPr>
              <w:ind w:firstLine="112"/>
              <w:jc w:val="center"/>
              <w:rPr>
                <w:rFonts w:hint="eastAsia" w:ascii="宋体" w:hAnsi="宋体" w:eastAsia="宋体" w:cs="宋体"/>
                <w:color w:val="010302"/>
              </w:rPr>
            </w:pPr>
            <w:r>
              <w:rPr>
                <w:rFonts w:hint="eastAsia" w:ascii="宋体" w:hAnsi="宋体" w:eastAsia="宋体" w:cs="宋体"/>
                <w:color w:val="000000"/>
                <w:sz w:val="18"/>
                <w:szCs w:val="18"/>
              </w:rPr>
              <w:t>市价</w:t>
            </w:r>
          </w:p>
        </w:tc>
        <w:tc>
          <w:tcPr>
            <w:tcW w:w="2668" w:type="dxa"/>
          </w:tcPr>
          <w:p w14:paraId="4350C126">
            <w:pPr>
              <w:ind w:firstLine="113"/>
              <w:jc w:val="center"/>
              <w:rPr>
                <w:rFonts w:hint="eastAsia" w:ascii="宋体" w:hAnsi="宋体" w:eastAsia="宋体" w:cs="宋体"/>
                <w:color w:val="010302"/>
              </w:rPr>
            </w:pPr>
            <w:r>
              <w:rPr>
                <w:rFonts w:hint="eastAsia" w:ascii="宋体" w:hAnsi="宋体" w:eastAsia="宋体" w:cs="宋体"/>
                <w:color w:val="000000"/>
                <w:sz w:val="18"/>
                <w:szCs w:val="18"/>
              </w:rPr>
              <w:t>市价</w:t>
            </w:r>
          </w:p>
        </w:tc>
        <w:tc>
          <w:tcPr>
            <w:tcW w:w="1895" w:type="dxa"/>
          </w:tcPr>
          <w:p w14:paraId="7969CBBC">
            <w:pPr>
              <w:ind w:firstLine="113"/>
              <w:jc w:val="center"/>
              <w:rPr>
                <w:rFonts w:hint="eastAsia" w:ascii="宋体" w:hAnsi="宋体" w:eastAsia="宋体" w:cs="宋体"/>
                <w:color w:val="010302"/>
              </w:rPr>
            </w:pPr>
            <w:r>
              <w:rPr>
                <w:rFonts w:hint="eastAsia" w:ascii="宋体" w:hAnsi="宋体" w:eastAsia="宋体" w:cs="宋体"/>
                <w:color w:val="000000"/>
                <w:sz w:val="18"/>
                <w:szCs w:val="18"/>
              </w:rPr>
              <w:t>市价</w:t>
            </w:r>
          </w:p>
        </w:tc>
        <w:tc>
          <w:tcPr>
            <w:tcW w:w="2250" w:type="dxa"/>
          </w:tcPr>
          <w:p w14:paraId="0338B456">
            <w:pPr>
              <w:ind w:firstLine="113"/>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上期所品种不支持市价</w:t>
            </w:r>
          </w:p>
        </w:tc>
      </w:tr>
    </w:tbl>
    <w:p w14:paraId="5EB24C3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3.点击下单按钮下单，支持买开、卖开、买平、卖平4种交易方向下单。 </w:t>
      </w:r>
    </w:p>
    <w:p w14:paraId="1B1726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备注：标的选择上期所品种时，支持优先平今仓，如下图所示：</w:t>
      </w:r>
    </w:p>
    <w:p w14:paraId="2BF08BA5">
      <w:pPr>
        <w:bidi w:val="0"/>
        <w:jc w:val="center"/>
        <w:rPr>
          <w:rFonts w:hint="eastAsia" w:ascii="宋体" w:hAnsi="宋体" w:eastAsia="宋体" w:cs="宋体"/>
        </w:rPr>
      </w:pPr>
      <w:r>
        <w:rPr>
          <w:rFonts w:hint="eastAsia" w:ascii="宋体" w:hAnsi="宋体" w:eastAsia="宋体" w:cs="宋体"/>
        </w:rPr>
        <w:drawing>
          <wp:inline distT="0" distB="0" distL="114300" distR="114300">
            <wp:extent cx="4608195" cy="3303270"/>
            <wp:effectExtent l="0" t="0" r="1270" b="0"/>
            <wp:docPr id="16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35"/>
                    <pic:cNvPicPr>
                      <a:picLocks noChangeAspect="1"/>
                    </pic:cNvPicPr>
                  </pic:nvPicPr>
                  <pic:blipFill>
                    <a:blip r:embed="rId47"/>
                    <a:stretch>
                      <a:fillRect/>
                    </a:stretch>
                  </pic:blipFill>
                  <pic:spPr>
                    <a:xfrm>
                      <a:off x="0" y="0"/>
                      <a:ext cx="4608195" cy="3303270"/>
                    </a:xfrm>
                    <a:prstGeom prst="rect">
                      <a:avLst/>
                    </a:prstGeom>
                    <a:noFill/>
                    <a:ln>
                      <a:noFill/>
                    </a:ln>
                  </pic:spPr>
                </pic:pic>
              </a:graphicData>
            </a:graphic>
          </wp:inline>
        </w:drawing>
      </w:r>
    </w:p>
    <w:p w14:paraId="56433879">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委托明细&amp;成交明细</w:t>
      </w:r>
    </w:p>
    <w:p w14:paraId="037303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委托明细列表和成交列表分别展示交易面板当前选中资产账号当日的委托记录和成交记录。</w:t>
      </w:r>
    </w:p>
    <w:p w14:paraId="1190DC7E">
      <w:pPr>
        <w:numPr>
          <w:ilvl w:val="0"/>
          <w:numId w:val="6"/>
        </w:numPr>
        <w:bidi w:val="0"/>
        <w:rPr>
          <w:rFonts w:hint="eastAsia" w:ascii="宋体" w:hAnsi="宋体" w:eastAsia="宋体" w:cs="宋体"/>
          <w:b/>
          <w:bCs/>
          <w:lang w:val="en-US" w:eastAsia="zh-CN"/>
        </w:rPr>
      </w:pPr>
      <w:r>
        <w:rPr>
          <w:rFonts w:hint="eastAsia" w:ascii="宋体" w:hAnsi="宋体" w:eastAsia="宋体" w:cs="宋体"/>
          <w:b/>
          <w:bCs/>
          <w:lang w:val="en-US" w:eastAsia="zh-CN"/>
        </w:rPr>
        <w:t>委托明细</w:t>
      </w:r>
    </w:p>
    <w:p w14:paraId="1750256E">
      <w:pPr>
        <w:numPr>
          <w:ilvl w:val="0"/>
          <w:numId w:val="0"/>
        </w:numPr>
        <w:bidi w:val="0"/>
        <w:rPr>
          <w:rFonts w:hint="eastAsia" w:ascii="宋体" w:hAnsi="宋体" w:eastAsia="宋体" w:cs="宋体"/>
          <w:lang w:val="en-US" w:eastAsia="zh-CN"/>
        </w:rPr>
      </w:pPr>
      <w:r>
        <w:rPr>
          <w:rFonts w:hint="eastAsia" w:ascii="宋体" w:hAnsi="宋体" w:eastAsia="宋体" w:cs="宋体"/>
        </w:rPr>
        <w:drawing>
          <wp:inline distT="0" distB="0" distL="114300" distR="114300">
            <wp:extent cx="5266690" cy="1454785"/>
            <wp:effectExtent l="0" t="0" r="10160" b="12065"/>
            <wp:docPr id="16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36"/>
                    <pic:cNvPicPr>
                      <a:picLocks noChangeAspect="1"/>
                    </pic:cNvPicPr>
                  </pic:nvPicPr>
                  <pic:blipFill>
                    <a:blip r:embed="rId48"/>
                    <a:stretch>
                      <a:fillRect/>
                    </a:stretch>
                  </pic:blipFill>
                  <pic:spPr>
                    <a:xfrm>
                      <a:off x="0" y="0"/>
                      <a:ext cx="5266690" cy="1454785"/>
                    </a:xfrm>
                    <a:prstGeom prst="rect">
                      <a:avLst/>
                    </a:prstGeom>
                    <a:noFill/>
                    <a:ln>
                      <a:noFill/>
                    </a:ln>
                  </pic:spPr>
                </pic:pic>
              </a:graphicData>
            </a:graphic>
          </wp:inline>
        </w:drawing>
      </w:r>
    </w:p>
    <w:p w14:paraId="0C650E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支持按资产账号、证券代码、交易员和委托状态（全部、可撤、废单）筛选委托记录。</w:t>
      </w:r>
    </w:p>
    <w:p w14:paraId="7C8B56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右键点击列表中可撤的委托记录或点击列表右上方委托列栏上的快捷按钮，进行撤单、全撤以及改单操作：  </w:t>
      </w:r>
    </w:p>
    <w:p w14:paraId="35671A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1）撤单&amp;全撤：对未成交或部分成交的委托，进行“撤单”或者“全撤”操作。   </w:t>
      </w:r>
    </w:p>
    <w:p w14:paraId="447808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2）改单：基于先撤后下的原则，改单时先将委托中未成交部分撤单，若撤单不成功，则提 示改单失败，原委托继续生效，若撤单成功，按修改后的委托价格下达新委托。  </w:t>
      </w:r>
    </w:p>
    <w:p w14:paraId="1D13833B">
      <w:pPr>
        <w:bidi w:val="0"/>
        <w:rPr>
          <w:rFonts w:hint="eastAsia" w:ascii="宋体" w:hAnsi="宋体" w:eastAsia="宋体" w:cs="宋体"/>
          <w:lang w:val="en-US" w:eastAsia="zh-CN"/>
        </w:rPr>
      </w:pPr>
      <w:r>
        <w:rPr>
          <w:rFonts w:hint="eastAsia" w:ascii="宋体" w:hAnsi="宋体" w:eastAsia="宋体" w:cs="宋体"/>
          <w:lang w:val="en-US" w:eastAsia="zh-CN"/>
        </w:rPr>
        <w:t>2、</w:t>
      </w:r>
      <w:r>
        <w:rPr>
          <w:rFonts w:hint="eastAsia" w:ascii="宋体" w:hAnsi="宋体" w:eastAsia="宋体" w:cs="宋体"/>
          <w:b/>
          <w:bCs/>
          <w:lang w:val="en-US" w:eastAsia="zh-CN"/>
        </w:rPr>
        <w:t>成交明细</w:t>
      </w:r>
    </w:p>
    <w:p w14:paraId="2385B7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支持按资产账号、证券代码和交易员筛选成交记录。</w:t>
      </w:r>
    </w:p>
    <w:p w14:paraId="72EF7D43">
      <w:pPr>
        <w:bidi w:val="0"/>
        <w:rPr>
          <w:rFonts w:hint="eastAsia" w:ascii="宋体" w:hAnsi="宋体" w:eastAsia="宋体" w:cs="宋体"/>
        </w:rPr>
      </w:pPr>
      <w:r>
        <w:rPr>
          <w:rFonts w:hint="eastAsia" w:ascii="宋体" w:hAnsi="宋体" w:eastAsia="宋体" w:cs="宋体"/>
        </w:rPr>
        <w:drawing>
          <wp:inline distT="0" distB="0" distL="114300" distR="114300">
            <wp:extent cx="5266690" cy="1454785"/>
            <wp:effectExtent l="0" t="0" r="10160" b="12065"/>
            <wp:docPr id="16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37"/>
                    <pic:cNvPicPr>
                      <a:picLocks noChangeAspect="1"/>
                    </pic:cNvPicPr>
                  </pic:nvPicPr>
                  <pic:blipFill>
                    <a:blip r:embed="rId49"/>
                    <a:stretch>
                      <a:fillRect/>
                    </a:stretch>
                  </pic:blipFill>
                  <pic:spPr>
                    <a:xfrm>
                      <a:off x="0" y="0"/>
                      <a:ext cx="5266690" cy="1454785"/>
                    </a:xfrm>
                    <a:prstGeom prst="rect">
                      <a:avLst/>
                    </a:prstGeom>
                    <a:noFill/>
                    <a:ln>
                      <a:noFill/>
                    </a:ln>
                  </pic:spPr>
                </pic:pic>
              </a:graphicData>
            </a:graphic>
          </wp:inline>
        </w:drawing>
      </w:r>
    </w:p>
    <w:p w14:paraId="7FC74B8B">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持仓列表</w:t>
      </w:r>
    </w:p>
    <w:p w14:paraId="71ED54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持仓列表展示交易面板当前选中资产账号当日的持仓记录。支持右击持仓记录或点击持仓栏上的快捷 按钮，进行反手、锁仓以及全平操作：</w:t>
      </w:r>
    </w:p>
    <w:p w14:paraId="73A0BC5E">
      <w:pPr>
        <w:rPr>
          <w:rFonts w:hint="eastAsia" w:ascii="宋体" w:hAnsi="宋体" w:eastAsia="宋体" w:cs="宋体"/>
        </w:rPr>
      </w:pPr>
      <w:r>
        <w:rPr>
          <w:rFonts w:hint="eastAsia" w:ascii="宋体" w:hAnsi="宋体" w:eastAsia="宋体" w:cs="宋体"/>
        </w:rPr>
        <w:drawing>
          <wp:inline distT="0" distB="0" distL="114300" distR="114300">
            <wp:extent cx="5266690" cy="1301750"/>
            <wp:effectExtent l="0" t="0" r="10160" b="12700"/>
            <wp:docPr id="16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38"/>
                    <pic:cNvPicPr>
                      <a:picLocks noChangeAspect="1"/>
                    </pic:cNvPicPr>
                  </pic:nvPicPr>
                  <pic:blipFill>
                    <a:blip r:embed="rId50"/>
                    <a:stretch>
                      <a:fillRect/>
                    </a:stretch>
                  </pic:blipFill>
                  <pic:spPr>
                    <a:xfrm>
                      <a:off x="0" y="0"/>
                      <a:ext cx="5266690" cy="1301750"/>
                    </a:xfrm>
                    <a:prstGeom prst="rect">
                      <a:avLst/>
                    </a:prstGeom>
                    <a:noFill/>
                    <a:ln>
                      <a:noFill/>
                    </a:ln>
                  </pic:spPr>
                </pic:pic>
              </a:graphicData>
            </a:graphic>
          </wp:inline>
        </w:drawing>
      </w:r>
    </w:p>
    <w:p w14:paraId="7DCFFF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1）全平：所有可平持仓一次全部平仓。</w:t>
      </w:r>
    </w:p>
    <w:p w14:paraId="4467F3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备注：因为上期所品种不支持市价指令，所以此处上期所品种的委托价格选择“市价”时，实际上是用限价指令以涨停价下单。</w:t>
      </w:r>
    </w:p>
    <w:p w14:paraId="687C9B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2）反手：已有的持仓平仓并反向开仓。持仓列表中选中一条持仓，点击“反手”按钮， 即发出两条委托：第一条是平持仓，第二条是同一标的反方向相同数量开仓。二次确认弹窗中确认后下单，如下图所示（反手AP404的两手多仓）。</w:t>
      </w:r>
    </w:p>
    <w:p w14:paraId="14BCD94C">
      <w:pPr>
        <w:rPr>
          <w:rFonts w:hint="eastAsia" w:ascii="宋体" w:hAnsi="宋体" w:eastAsia="宋体" w:cs="宋体"/>
          <w:lang w:val="en-US" w:eastAsia="zh-CN"/>
        </w:rPr>
      </w:pPr>
      <w:r>
        <w:rPr>
          <w:rFonts w:hint="eastAsia" w:ascii="宋体" w:hAnsi="宋体" w:eastAsia="宋体" w:cs="宋体"/>
        </w:rPr>
        <w:drawing>
          <wp:inline distT="0" distB="0" distL="114300" distR="114300">
            <wp:extent cx="5269865" cy="2256155"/>
            <wp:effectExtent l="0" t="0" r="6985" b="10795"/>
            <wp:docPr id="9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7"/>
                    <pic:cNvPicPr>
                      <a:picLocks noChangeAspect="1"/>
                    </pic:cNvPicPr>
                  </pic:nvPicPr>
                  <pic:blipFill>
                    <a:blip r:embed="rId51"/>
                    <a:stretch>
                      <a:fillRect/>
                    </a:stretch>
                  </pic:blipFill>
                  <pic:spPr>
                    <a:xfrm>
                      <a:off x="0" y="0"/>
                      <a:ext cx="5269865" cy="2256155"/>
                    </a:xfrm>
                    <a:prstGeom prst="rect">
                      <a:avLst/>
                    </a:prstGeom>
                    <a:noFill/>
                    <a:ln>
                      <a:noFill/>
                    </a:ln>
                  </pic:spPr>
                </pic:pic>
              </a:graphicData>
            </a:graphic>
          </wp:inline>
        </w:drawing>
      </w:r>
    </w:p>
    <w:p w14:paraId="47DB36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3）锁仓：对已有的持仓反向开仓，即开仓相同数量，方向相反的相同合约。  </w:t>
      </w:r>
    </w:p>
    <w:p w14:paraId="5D2FEAA6">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20" w:name="_Toc8487"/>
      <w:r>
        <w:rPr>
          <w:rFonts w:hint="eastAsia" w:ascii="宋体" w:hAnsi="宋体" w:eastAsia="宋体" w:cs="宋体"/>
          <w:sz w:val="28"/>
          <w:szCs w:val="28"/>
          <w:lang w:val="en-US" w:eastAsia="zh-CN"/>
        </w:rPr>
        <w:t>期货期权交易</w:t>
      </w:r>
      <w:bookmarkEnd w:id="20"/>
    </w:p>
    <w:p w14:paraId="3D7696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highlight w:val="none"/>
          <w:lang w:val="en-US" w:eastAsia="zh-CN"/>
        </w:rPr>
        <w:t>期货期权交易提供期货期权基础交易功能，支持</w:t>
      </w:r>
      <w:r>
        <w:rPr>
          <w:rFonts w:hint="default" w:ascii="宋体" w:hAnsi="宋体" w:eastAsia="宋体" w:cs="宋体"/>
          <w:highlight w:val="none"/>
          <w:lang w:val="en-US" w:eastAsia="zh-CN"/>
        </w:rPr>
        <w:t>中金</w:t>
      </w:r>
      <w:r>
        <w:rPr>
          <w:rFonts w:hint="eastAsia" w:ascii="宋体" w:hAnsi="宋体" w:eastAsia="宋体" w:cs="宋体"/>
          <w:highlight w:val="none"/>
          <w:lang w:val="en-US" w:eastAsia="zh-CN"/>
        </w:rPr>
        <w:t>所、</w:t>
      </w:r>
      <w:r>
        <w:rPr>
          <w:rFonts w:hint="default" w:ascii="宋体" w:hAnsi="宋体" w:eastAsia="宋体" w:cs="宋体"/>
          <w:highlight w:val="none"/>
          <w:lang w:val="en-US" w:eastAsia="zh-CN"/>
        </w:rPr>
        <w:t>大商</w:t>
      </w:r>
      <w:r>
        <w:rPr>
          <w:rFonts w:hint="eastAsia" w:ascii="宋体" w:hAnsi="宋体" w:eastAsia="宋体" w:cs="宋体"/>
          <w:highlight w:val="none"/>
          <w:lang w:val="en-US" w:eastAsia="zh-CN"/>
        </w:rPr>
        <w:t>所、</w:t>
      </w:r>
      <w:r>
        <w:rPr>
          <w:rFonts w:hint="default" w:ascii="宋体" w:hAnsi="宋体" w:eastAsia="宋体" w:cs="宋体"/>
          <w:highlight w:val="none"/>
          <w:lang w:val="en-US" w:eastAsia="zh-CN"/>
        </w:rPr>
        <w:t>郑商</w:t>
      </w:r>
      <w:r>
        <w:rPr>
          <w:rFonts w:hint="eastAsia" w:ascii="宋体" w:hAnsi="宋体" w:eastAsia="宋体" w:cs="宋体"/>
          <w:highlight w:val="none"/>
          <w:lang w:val="en-US" w:eastAsia="zh-CN"/>
        </w:rPr>
        <w:t>所、</w:t>
      </w:r>
      <w:r>
        <w:rPr>
          <w:rFonts w:hint="default" w:ascii="宋体" w:hAnsi="宋体" w:eastAsia="宋体" w:cs="宋体"/>
          <w:highlight w:val="none"/>
          <w:lang w:val="en-US" w:eastAsia="zh-CN"/>
        </w:rPr>
        <w:t>上能源</w:t>
      </w:r>
      <w:r>
        <w:rPr>
          <w:rFonts w:hint="eastAsia" w:ascii="宋体" w:hAnsi="宋体" w:eastAsia="宋体" w:cs="宋体"/>
          <w:highlight w:val="none"/>
          <w:lang w:val="en-US" w:eastAsia="zh-CN"/>
        </w:rPr>
        <w:t>、</w:t>
      </w:r>
      <w:r>
        <w:rPr>
          <w:rFonts w:hint="default" w:ascii="宋体" w:hAnsi="宋体" w:eastAsia="宋体" w:cs="宋体"/>
          <w:highlight w:val="none"/>
          <w:lang w:val="en-US" w:eastAsia="zh-CN"/>
        </w:rPr>
        <w:t>上期</w:t>
      </w:r>
      <w:r>
        <w:rPr>
          <w:rFonts w:hint="eastAsia" w:ascii="宋体" w:hAnsi="宋体" w:eastAsia="宋体" w:cs="宋体"/>
          <w:highlight w:val="none"/>
          <w:lang w:val="en-US" w:eastAsia="zh-CN"/>
        </w:rPr>
        <w:t>所、</w:t>
      </w:r>
      <w:r>
        <w:rPr>
          <w:rFonts w:hint="default" w:ascii="宋体" w:hAnsi="宋体" w:eastAsia="宋体" w:cs="宋体"/>
          <w:highlight w:val="none"/>
          <w:lang w:val="en-US" w:eastAsia="zh-CN"/>
        </w:rPr>
        <w:t>广期</w:t>
      </w:r>
      <w:r>
        <w:rPr>
          <w:rFonts w:hint="eastAsia" w:ascii="宋体" w:hAnsi="宋体" w:eastAsia="宋体" w:cs="宋体"/>
          <w:highlight w:val="none"/>
          <w:lang w:val="en-US" w:eastAsia="zh-CN"/>
        </w:rPr>
        <w:t>所等六大交易所的所有期货期权品种的交易。该模块包含：期货期权持仓列表、</w:t>
      </w:r>
      <w:r>
        <w:rPr>
          <w:rFonts w:hint="eastAsia" w:ascii="宋体" w:hAnsi="宋体" w:eastAsia="宋体" w:cs="宋体"/>
          <w:lang w:val="en-US" w:eastAsia="zh-CN"/>
        </w:rPr>
        <w:t>期货期权账户资产、期货期权闪电下单、期货期权T型行情、委托明细、成交明细和交易面板，如下图所示：</w:t>
      </w:r>
    </w:p>
    <w:p w14:paraId="3F2B6024">
      <w:pPr>
        <w:jc w:val="center"/>
        <w:rPr>
          <w:rFonts w:hint="eastAsia" w:ascii="宋体" w:hAnsi="宋体" w:eastAsia="宋体" w:cs="宋体"/>
        </w:rPr>
      </w:pPr>
      <w:r>
        <w:rPr>
          <w:rFonts w:hint="eastAsia" w:ascii="宋体" w:hAnsi="宋体" w:eastAsia="宋体" w:cs="宋体"/>
        </w:rPr>
        <w:drawing>
          <wp:inline distT="0" distB="0" distL="114300" distR="114300">
            <wp:extent cx="5266690" cy="2668270"/>
            <wp:effectExtent l="0" t="0" r="0" b="0"/>
            <wp:docPr id="17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39"/>
                    <pic:cNvPicPr>
                      <a:picLocks noChangeAspect="1"/>
                    </pic:cNvPicPr>
                  </pic:nvPicPr>
                  <pic:blipFill>
                    <a:blip r:embed="rId52"/>
                    <a:srcRect t="6477"/>
                    <a:stretch>
                      <a:fillRect/>
                    </a:stretch>
                  </pic:blipFill>
                  <pic:spPr>
                    <a:xfrm>
                      <a:off x="0" y="0"/>
                      <a:ext cx="5266690" cy="2668270"/>
                    </a:xfrm>
                    <a:prstGeom prst="rect">
                      <a:avLst/>
                    </a:prstGeom>
                    <a:noFill/>
                    <a:ln>
                      <a:noFill/>
                    </a:ln>
                  </pic:spPr>
                </pic:pic>
              </a:graphicData>
            </a:graphic>
          </wp:inline>
        </w:drawing>
      </w:r>
    </w:p>
    <w:p w14:paraId="1119153D">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期货期权持仓</w:t>
      </w:r>
    </w:p>
    <w:p w14:paraId="5F3235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展示交易面板当前选中资金账户的持仓情况，包括持仓类型、盯市盈亏、占用保证金、浮动盈亏和持仓市值等信息，支持按合约代码筛选持仓记录，支持持仓数据导出。</w:t>
      </w:r>
    </w:p>
    <w:p w14:paraId="46DDA93A">
      <w:pPr>
        <w:jc w:val="center"/>
        <w:rPr>
          <w:rFonts w:hint="eastAsia" w:ascii="宋体" w:hAnsi="宋体" w:eastAsia="宋体" w:cs="宋体"/>
        </w:rPr>
      </w:pPr>
      <w:r>
        <w:rPr>
          <w:rFonts w:hint="eastAsia" w:ascii="宋体" w:hAnsi="宋体" w:eastAsia="宋体" w:cs="宋体"/>
        </w:rPr>
        <w:drawing>
          <wp:inline distT="0" distB="0" distL="114300" distR="114300">
            <wp:extent cx="4850765" cy="2304415"/>
            <wp:effectExtent l="0" t="0" r="6985" b="5715"/>
            <wp:docPr id="17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41"/>
                    <pic:cNvPicPr>
                      <a:picLocks noChangeAspect="1"/>
                    </pic:cNvPicPr>
                  </pic:nvPicPr>
                  <pic:blipFill>
                    <a:blip r:embed="rId53"/>
                    <a:stretch>
                      <a:fillRect/>
                    </a:stretch>
                  </pic:blipFill>
                  <pic:spPr>
                    <a:xfrm>
                      <a:off x="0" y="0"/>
                      <a:ext cx="4850765" cy="2304415"/>
                    </a:xfrm>
                    <a:prstGeom prst="rect">
                      <a:avLst/>
                    </a:prstGeom>
                    <a:noFill/>
                    <a:ln>
                      <a:noFill/>
                    </a:ln>
                  </pic:spPr>
                </pic:pic>
              </a:graphicData>
            </a:graphic>
          </wp:inline>
        </w:drawing>
      </w:r>
    </w:p>
    <w:p w14:paraId="25A3D6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支持对持仓进行“全平”“反手”“锁仓”操作，交互逻辑同4.1.4.5期货持仓列表中的相同操作。</w:t>
      </w:r>
    </w:p>
    <w:p w14:paraId="05C0318F">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期货期权账户资产</w:t>
      </w:r>
    </w:p>
    <w:p w14:paraId="6D873B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展示交易面板当前选中资金账户的资产明细，包括保证金余额、可用保证金、占用保证金、客户权益、风险度、盯市盈亏、浮动盈亏等信息，支持设置字段显隐。</w:t>
      </w:r>
    </w:p>
    <w:p w14:paraId="14368C73">
      <w:pPr>
        <w:jc w:val="center"/>
        <w:rPr>
          <w:rFonts w:hint="eastAsia" w:ascii="宋体" w:hAnsi="宋体" w:eastAsia="宋体" w:cs="宋体"/>
          <w:lang w:val="en-US" w:eastAsia="zh-CN"/>
        </w:rPr>
      </w:pPr>
      <w:r>
        <w:rPr>
          <w:rFonts w:hint="eastAsia" w:ascii="宋体" w:hAnsi="宋体" w:eastAsia="宋体" w:cs="宋体"/>
        </w:rPr>
        <w:drawing>
          <wp:inline distT="0" distB="0" distL="114300" distR="114300">
            <wp:extent cx="4996180" cy="2373630"/>
            <wp:effectExtent l="0" t="0" r="1905" b="1270"/>
            <wp:docPr id="17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40"/>
                    <pic:cNvPicPr>
                      <a:picLocks noChangeAspect="1"/>
                    </pic:cNvPicPr>
                  </pic:nvPicPr>
                  <pic:blipFill>
                    <a:blip r:embed="rId54"/>
                    <a:stretch>
                      <a:fillRect/>
                    </a:stretch>
                  </pic:blipFill>
                  <pic:spPr>
                    <a:xfrm>
                      <a:off x="0" y="0"/>
                      <a:ext cx="4996180" cy="2373630"/>
                    </a:xfrm>
                    <a:prstGeom prst="rect">
                      <a:avLst/>
                    </a:prstGeom>
                    <a:noFill/>
                    <a:ln>
                      <a:noFill/>
                    </a:ln>
                  </pic:spPr>
                </pic:pic>
              </a:graphicData>
            </a:graphic>
          </wp:inline>
        </w:drawing>
      </w:r>
    </w:p>
    <w:p w14:paraId="54A01770">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期货期权闪电下单</w:t>
      </w:r>
    </w:p>
    <w:p w14:paraId="59F9AB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期货期权闪电下单面板，支持用户快速设置下单信息实现快速下单，同4.1.3.3闪电下单。</w:t>
      </w:r>
    </w:p>
    <w:p w14:paraId="5445D0E6">
      <w:pPr>
        <w:jc w:val="center"/>
        <w:rPr>
          <w:rFonts w:hint="eastAsia" w:ascii="宋体" w:hAnsi="宋体" w:eastAsia="宋体" w:cs="宋体"/>
          <w:lang w:val="en-US" w:eastAsia="zh-CN"/>
        </w:rPr>
      </w:pPr>
      <w:r>
        <w:rPr>
          <w:rFonts w:hint="eastAsia" w:ascii="宋体" w:hAnsi="宋体" w:eastAsia="宋体" w:cs="宋体"/>
        </w:rPr>
        <w:drawing>
          <wp:inline distT="0" distB="0" distL="114300" distR="114300">
            <wp:extent cx="4926330" cy="2339975"/>
            <wp:effectExtent l="0" t="0" r="6985" b="2540"/>
            <wp:docPr id="17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42"/>
                    <pic:cNvPicPr>
                      <a:picLocks noChangeAspect="1"/>
                    </pic:cNvPicPr>
                  </pic:nvPicPr>
                  <pic:blipFill>
                    <a:blip r:embed="rId55"/>
                    <a:stretch>
                      <a:fillRect/>
                    </a:stretch>
                  </pic:blipFill>
                  <pic:spPr>
                    <a:xfrm>
                      <a:off x="0" y="0"/>
                      <a:ext cx="4926330" cy="2339975"/>
                    </a:xfrm>
                    <a:prstGeom prst="rect">
                      <a:avLst/>
                    </a:prstGeom>
                    <a:noFill/>
                    <a:ln>
                      <a:noFill/>
                    </a:ln>
                  </pic:spPr>
                </pic:pic>
              </a:graphicData>
            </a:graphic>
          </wp:inline>
        </w:drawing>
      </w:r>
    </w:p>
    <w:p w14:paraId="180312B7">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期货期权T型行情</w:t>
      </w:r>
    </w:p>
    <w:p w14:paraId="6072A7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支持切换查看不同交易所、不同品种不同到期时间的合约的行情。</w:t>
      </w:r>
    </w:p>
    <w:p w14:paraId="6201BED7">
      <w:pPr>
        <w:jc w:val="center"/>
        <w:rPr>
          <w:rFonts w:hint="eastAsia" w:ascii="宋体" w:hAnsi="宋体" w:eastAsia="宋体" w:cs="宋体"/>
        </w:rPr>
      </w:pPr>
      <w:r>
        <w:rPr>
          <w:rFonts w:hint="eastAsia" w:ascii="宋体" w:hAnsi="宋体" w:eastAsia="宋体" w:cs="宋体"/>
        </w:rPr>
        <w:drawing>
          <wp:inline distT="0" distB="0" distL="114300" distR="114300">
            <wp:extent cx="4669790" cy="2224405"/>
            <wp:effectExtent l="0" t="0" r="16510" b="4445"/>
            <wp:docPr id="17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43"/>
                    <pic:cNvPicPr>
                      <a:picLocks noChangeAspect="1"/>
                    </pic:cNvPicPr>
                  </pic:nvPicPr>
                  <pic:blipFill>
                    <a:blip r:embed="rId56"/>
                    <a:stretch>
                      <a:fillRect/>
                    </a:stretch>
                  </pic:blipFill>
                  <pic:spPr>
                    <a:xfrm>
                      <a:off x="0" y="0"/>
                      <a:ext cx="4669790" cy="2224405"/>
                    </a:xfrm>
                    <a:prstGeom prst="rect">
                      <a:avLst/>
                    </a:prstGeom>
                    <a:noFill/>
                    <a:ln>
                      <a:noFill/>
                    </a:ln>
                  </pic:spPr>
                </pic:pic>
              </a:graphicData>
            </a:graphic>
          </wp:inline>
        </w:drawing>
      </w:r>
    </w:p>
    <w:p w14:paraId="222D2DB6">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委托明细&amp;成交明细</w:t>
      </w:r>
    </w:p>
    <w:p w14:paraId="5E6A28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委托明细列表和成交列表分别展示交易面板当前选中资产账号当日的委托记录和成交记录。</w:t>
      </w:r>
    </w:p>
    <w:p w14:paraId="509A7EAD">
      <w:pPr>
        <w:numPr>
          <w:ilvl w:val="0"/>
          <w:numId w:val="7"/>
        </w:numPr>
        <w:rPr>
          <w:rFonts w:hint="eastAsia" w:ascii="宋体" w:hAnsi="宋体" w:eastAsia="宋体" w:cs="宋体"/>
          <w:b/>
          <w:bCs/>
          <w:lang w:val="en-US" w:eastAsia="zh-CN"/>
        </w:rPr>
      </w:pPr>
      <w:r>
        <w:rPr>
          <w:rFonts w:hint="eastAsia" w:ascii="宋体" w:hAnsi="宋体" w:eastAsia="宋体" w:cs="宋体"/>
          <w:b/>
          <w:bCs/>
          <w:lang w:val="en-US" w:eastAsia="zh-CN"/>
        </w:rPr>
        <w:t>委托明细</w:t>
      </w:r>
    </w:p>
    <w:p w14:paraId="03794405">
      <w:pPr>
        <w:numPr>
          <w:ilvl w:val="0"/>
          <w:numId w:val="0"/>
        </w:numPr>
        <w:jc w:val="center"/>
        <w:rPr>
          <w:rFonts w:hint="eastAsia" w:ascii="宋体" w:hAnsi="宋体" w:eastAsia="宋体" w:cs="宋体"/>
        </w:rPr>
      </w:pPr>
      <w:r>
        <w:rPr>
          <w:rFonts w:hint="eastAsia" w:ascii="宋体" w:hAnsi="宋体" w:eastAsia="宋体" w:cs="宋体"/>
        </w:rPr>
        <w:drawing>
          <wp:inline distT="0" distB="0" distL="114300" distR="114300">
            <wp:extent cx="5274310" cy="2132330"/>
            <wp:effectExtent l="0" t="0" r="2540" b="1270"/>
            <wp:docPr id="17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44"/>
                    <pic:cNvPicPr>
                      <a:picLocks noChangeAspect="1"/>
                    </pic:cNvPicPr>
                  </pic:nvPicPr>
                  <pic:blipFill>
                    <a:blip r:embed="rId57"/>
                    <a:stretch>
                      <a:fillRect/>
                    </a:stretch>
                  </pic:blipFill>
                  <pic:spPr>
                    <a:xfrm>
                      <a:off x="0" y="0"/>
                      <a:ext cx="5274310" cy="2132330"/>
                    </a:xfrm>
                    <a:prstGeom prst="rect">
                      <a:avLst/>
                    </a:prstGeom>
                    <a:noFill/>
                    <a:ln>
                      <a:noFill/>
                    </a:ln>
                  </pic:spPr>
                </pic:pic>
              </a:graphicData>
            </a:graphic>
          </wp:inline>
        </w:drawing>
      </w:r>
    </w:p>
    <w:p w14:paraId="2A843A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同4.1.4.4委托明细&amp;成交明细。</w:t>
      </w:r>
    </w:p>
    <w:p w14:paraId="4D6E8F81">
      <w:pPr>
        <w:numPr>
          <w:ilvl w:val="0"/>
          <w:numId w:val="7"/>
        </w:numPr>
        <w:ind w:left="0" w:leftChars="0" w:firstLine="0" w:firstLineChars="0"/>
        <w:rPr>
          <w:rFonts w:hint="eastAsia" w:ascii="宋体" w:hAnsi="宋体" w:eastAsia="宋体" w:cs="宋体"/>
          <w:b/>
          <w:bCs/>
          <w:lang w:val="en-US" w:eastAsia="zh-CN"/>
        </w:rPr>
      </w:pPr>
      <w:r>
        <w:rPr>
          <w:rFonts w:hint="eastAsia" w:ascii="宋体" w:hAnsi="宋体" w:eastAsia="宋体" w:cs="宋体"/>
          <w:b/>
          <w:bCs/>
          <w:lang w:val="en-US" w:eastAsia="zh-CN"/>
        </w:rPr>
        <w:t>成交明细</w:t>
      </w:r>
    </w:p>
    <w:p w14:paraId="17A12224">
      <w:pPr>
        <w:numPr>
          <w:ilvl w:val="0"/>
          <w:numId w:val="0"/>
        </w:numPr>
        <w:ind w:leftChars="0"/>
        <w:rPr>
          <w:rFonts w:hint="eastAsia" w:ascii="宋体" w:hAnsi="宋体" w:eastAsia="宋体" w:cs="宋体"/>
          <w:lang w:val="en-US" w:eastAsia="zh-CN"/>
        </w:rPr>
      </w:pPr>
      <w:r>
        <w:rPr>
          <w:rFonts w:hint="eastAsia" w:ascii="宋体" w:hAnsi="宋体" w:eastAsia="宋体" w:cs="宋体"/>
        </w:rPr>
        <w:drawing>
          <wp:inline distT="0" distB="0" distL="114300" distR="114300">
            <wp:extent cx="5274310" cy="2132330"/>
            <wp:effectExtent l="0" t="0" r="2540" b="1270"/>
            <wp:docPr id="17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45"/>
                    <pic:cNvPicPr>
                      <a:picLocks noChangeAspect="1"/>
                    </pic:cNvPicPr>
                  </pic:nvPicPr>
                  <pic:blipFill>
                    <a:blip r:embed="rId58"/>
                    <a:stretch>
                      <a:fillRect/>
                    </a:stretch>
                  </pic:blipFill>
                  <pic:spPr>
                    <a:xfrm>
                      <a:off x="0" y="0"/>
                      <a:ext cx="5274310" cy="2132330"/>
                    </a:xfrm>
                    <a:prstGeom prst="rect">
                      <a:avLst/>
                    </a:prstGeom>
                    <a:noFill/>
                    <a:ln>
                      <a:noFill/>
                    </a:ln>
                  </pic:spPr>
                </pic:pic>
              </a:graphicData>
            </a:graphic>
          </wp:inline>
        </w:drawing>
      </w:r>
    </w:p>
    <w:p w14:paraId="2FF263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同4.1.4.4委托明细&amp;成交明细。</w:t>
      </w:r>
    </w:p>
    <w:p w14:paraId="565634C0">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交易面板</w:t>
      </w:r>
    </w:p>
    <w:p w14:paraId="58C2E4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交易面板分为行情盘口和委托下单两部分。行情盘口部分展示买卖五档实时行情的盘口信息，如图所示。</w:t>
      </w:r>
    </w:p>
    <w:p w14:paraId="6A00014C">
      <w:pPr>
        <w:numPr>
          <w:ilvl w:val="0"/>
          <w:numId w:val="0"/>
        </w:numPr>
        <w:jc w:val="center"/>
        <w:rPr>
          <w:rFonts w:hint="eastAsia" w:ascii="宋体" w:hAnsi="宋体" w:eastAsia="宋体" w:cs="宋体"/>
        </w:rPr>
      </w:pPr>
      <w:r>
        <w:rPr>
          <w:rFonts w:hint="eastAsia" w:ascii="宋体" w:hAnsi="宋体" w:eastAsia="宋体" w:cs="宋体"/>
        </w:rPr>
        <w:drawing>
          <wp:inline distT="0" distB="0" distL="114300" distR="114300">
            <wp:extent cx="3669665" cy="2250440"/>
            <wp:effectExtent l="0" t="0" r="6985" b="16510"/>
            <wp:docPr id="17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46"/>
                    <pic:cNvPicPr>
                      <a:picLocks noChangeAspect="1"/>
                    </pic:cNvPicPr>
                  </pic:nvPicPr>
                  <pic:blipFill>
                    <a:blip r:embed="rId59"/>
                    <a:stretch>
                      <a:fillRect/>
                    </a:stretch>
                  </pic:blipFill>
                  <pic:spPr>
                    <a:xfrm>
                      <a:off x="0" y="0"/>
                      <a:ext cx="3669665" cy="2250440"/>
                    </a:xfrm>
                    <a:prstGeom prst="rect">
                      <a:avLst/>
                    </a:prstGeom>
                    <a:noFill/>
                    <a:ln>
                      <a:noFill/>
                    </a:ln>
                  </pic:spPr>
                </pic:pic>
              </a:graphicData>
            </a:graphic>
          </wp:inline>
        </w:drawing>
      </w:r>
    </w:p>
    <w:p w14:paraId="2ABE43E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同4.1.4.3交易面板。</w:t>
      </w:r>
    </w:p>
    <w:p w14:paraId="425CF21E">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28"/>
          <w:szCs w:val="28"/>
          <w:lang w:val="en-US" w:eastAsia="zh-CN"/>
        </w:rPr>
      </w:pPr>
      <w:bookmarkStart w:id="21" w:name="_Toc31884"/>
      <w:r>
        <w:rPr>
          <w:rFonts w:hint="eastAsia" w:ascii="宋体" w:hAnsi="宋体" w:eastAsia="宋体" w:cs="宋体"/>
          <w:sz w:val="28"/>
          <w:szCs w:val="28"/>
          <w:lang w:val="en-US" w:eastAsia="zh-CN"/>
        </w:rPr>
        <w:t>特色交易</w:t>
      </w:r>
      <w:bookmarkEnd w:id="21"/>
    </w:p>
    <w:p w14:paraId="7FB8C588">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22" w:name="_Toc8337"/>
      <w:r>
        <w:rPr>
          <w:rFonts w:hint="eastAsia" w:ascii="宋体" w:hAnsi="宋体" w:eastAsia="宋体" w:cs="宋体"/>
          <w:sz w:val="28"/>
          <w:szCs w:val="28"/>
          <w:lang w:val="en-US" w:eastAsia="zh-CN"/>
        </w:rPr>
        <w:t>组合交易</w:t>
      </w:r>
      <w:bookmarkEnd w:id="22"/>
    </w:p>
    <w:p w14:paraId="2BB271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组合交易支持一篮子标的批量下单的功能，通过预先维护组合模版或使用文件导入的方 式，实现手工和算法两大类交易模式的批量委托。</w:t>
      </w:r>
    </w:p>
    <w:p w14:paraId="63A623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功能内部嵌入了多种组合场景，包括持仓组合。持仓组合是系统自动获取账号持仓标的，实现批量减仓。 </w:t>
      </w:r>
    </w:p>
    <w:p w14:paraId="0C9C09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支持品种和交易方向如下：</w:t>
      </w:r>
    </w:p>
    <w:p w14:paraId="2E6B2538">
      <w:pPr>
        <w:rPr>
          <w:rFonts w:hint="eastAsia" w:ascii="宋体" w:hAnsi="宋体" w:eastAsia="宋体" w:cs="宋体"/>
          <w:lang w:val="en-US" w:eastAsia="zh-CN"/>
        </w:rPr>
      </w:pPr>
    </w:p>
    <w:tbl>
      <w:tblPr>
        <w:tblStyle w:val="20"/>
        <w:tblpPr w:vertAnchor="text" w:horzAnchor="page" w:tblpX="1795" w:tblpY="-270"/>
        <w:tblOverlap w:val="never"/>
        <w:tblW w:w="84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46"/>
        <w:gridCol w:w="1413"/>
        <w:gridCol w:w="2972"/>
        <w:gridCol w:w="2560"/>
      </w:tblGrid>
      <w:tr w14:paraId="5644E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546" w:type="dxa"/>
          </w:tcPr>
          <w:p w14:paraId="7A3557DA">
            <w:pPr>
              <w:keepNext w:val="0"/>
              <w:keepLines w:val="0"/>
              <w:pageBreakBefore w:val="0"/>
              <w:widowControl w:val="0"/>
              <w:kinsoku/>
              <w:wordWrap/>
              <w:overflowPunct/>
              <w:topLinePunct w:val="0"/>
              <w:autoSpaceDE/>
              <w:autoSpaceDN/>
              <w:bidi w:val="0"/>
              <w:adjustRightInd/>
              <w:snapToGrid/>
              <w:spacing w:before="33"/>
              <w:ind w:left="313"/>
              <w:jc w:val="both"/>
              <w:textAlignment w:val="auto"/>
              <w:rPr>
                <w:rFonts w:hint="eastAsia" w:ascii="宋体" w:hAnsi="宋体" w:eastAsia="宋体" w:cs="宋体"/>
                <w:b/>
                <w:bCs/>
                <w:color w:val="010302"/>
              </w:rPr>
            </w:pPr>
            <w:r>
              <w:rPr>
                <w:rFonts w:hint="eastAsia" w:ascii="宋体" w:hAnsi="宋体" w:eastAsia="宋体" w:cs="宋体"/>
                <w:b/>
                <w:bCs/>
                <w:color w:val="000000"/>
              </w:rPr>
              <w:t>资产账号</w:t>
            </w:r>
          </w:p>
        </w:tc>
        <w:tc>
          <w:tcPr>
            <w:tcW w:w="1413" w:type="dxa"/>
          </w:tcPr>
          <w:p w14:paraId="0FFE1416">
            <w:pPr>
              <w:keepNext w:val="0"/>
              <w:keepLines w:val="0"/>
              <w:pageBreakBefore w:val="0"/>
              <w:widowControl w:val="0"/>
              <w:kinsoku/>
              <w:wordWrap/>
              <w:overflowPunct/>
              <w:topLinePunct w:val="0"/>
              <w:autoSpaceDE/>
              <w:autoSpaceDN/>
              <w:bidi w:val="0"/>
              <w:adjustRightInd/>
              <w:snapToGrid/>
              <w:spacing w:before="33"/>
              <w:ind w:firstLine="492"/>
              <w:jc w:val="both"/>
              <w:textAlignment w:val="auto"/>
              <w:rPr>
                <w:rFonts w:hint="eastAsia" w:ascii="宋体" w:hAnsi="宋体" w:eastAsia="宋体" w:cs="宋体"/>
                <w:b/>
                <w:bCs/>
                <w:color w:val="010302"/>
              </w:rPr>
            </w:pPr>
            <w:r>
              <w:rPr>
                <w:rFonts w:hint="eastAsia" w:ascii="宋体" w:hAnsi="宋体" w:eastAsia="宋体" w:cs="宋体"/>
                <w:b/>
                <w:bCs/>
                <w:color w:val="000000"/>
              </w:rPr>
              <w:t>市场</w:t>
            </w:r>
          </w:p>
        </w:tc>
        <w:tc>
          <w:tcPr>
            <w:tcW w:w="2972" w:type="dxa"/>
          </w:tcPr>
          <w:p w14:paraId="2F8EAFC4">
            <w:pPr>
              <w:keepNext w:val="0"/>
              <w:keepLines w:val="0"/>
              <w:pageBreakBefore w:val="0"/>
              <w:widowControl w:val="0"/>
              <w:kinsoku/>
              <w:wordWrap/>
              <w:overflowPunct/>
              <w:topLinePunct w:val="0"/>
              <w:autoSpaceDE/>
              <w:autoSpaceDN/>
              <w:bidi w:val="0"/>
              <w:adjustRightInd/>
              <w:snapToGrid/>
              <w:spacing w:before="33"/>
              <w:jc w:val="center"/>
              <w:textAlignment w:val="auto"/>
              <w:rPr>
                <w:rFonts w:hint="eastAsia" w:ascii="宋体" w:hAnsi="宋体" w:eastAsia="宋体" w:cs="宋体"/>
                <w:b/>
                <w:bCs/>
                <w:color w:val="010302"/>
              </w:rPr>
            </w:pPr>
            <w:r>
              <w:rPr>
                <w:rFonts w:hint="eastAsia" w:ascii="宋体" w:hAnsi="宋体" w:eastAsia="宋体" w:cs="宋体"/>
                <w:b/>
                <w:bCs/>
                <w:color w:val="000000"/>
              </w:rPr>
              <w:t>品种</w:t>
            </w:r>
          </w:p>
        </w:tc>
        <w:tc>
          <w:tcPr>
            <w:tcW w:w="2560" w:type="dxa"/>
          </w:tcPr>
          <w:p w14:paraId="30EB6660">
            <w:pPr>
              <w:keepNext w:val="0"/>
              <w:keepLines w:val="0"/>
              <w:pageBreakBefore w:val="0"/>
              <w:widowControl w:val="0"/>
              <w:kinsoku/>
              <w:wordWrap/>
              <w:overflowPunct/>
              <w:topLinePunct w:val="0"/>
              <w:autoSpaceDE/>
              <w:autoSpaceDN/>
              <w:bidi w:val="0"/>
              <w:adjustRightInd/>
              <w:snapToGrid/>
              <w:spacing w:before="33"/>
              <w:jc w:val="center"/>
              <w:textAlignment w:val="auto"/>
              <w:rPr>
                <w:rFonts w:hint="eastAsia" w:ascii="宋体" w:hAnsi="宋体" w:eastAsia="宋体" w:cs="宋体"/>
                <w:b/>
                <w:bCs/>
                <w:color w:val="010302"/>
              </w:rPr>
            </w:pPr>
            <w:r>
              <w:rPr>
                <w:rFonts w:hint="eastAsia" w:ascii="宋体" w:hAnsi="宋体" w:eastAsia="宋体" w:cs="宋体"/>
                <w:b/>
                <w:bCs/>
                <w:color w:val="000000"/>
              </w:rPr>
              <w:t>交易方向</w:t>
            </w:r>
          </w:p>
        </w:tc>
      </w:tr>
      <w:tr w14:paraId="1DC54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0" w:hRule="atLeast"/>
        </w:trPr>
        <w:tc>
          <w:tcPr>
            <w:tcW w:w="1546" w:type="dxa"/>
            <w:vMerge w:val="restart"/>
            <w:tcBorders>
              <w:bottom w:val="nil"/>
            </w:tcBorders>
            <w:vAlign w:val="center"/>
          </w:tcPr>
          <w:p w14:paraId="130EAB4F">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010302"/>
              </w:rPr>
            </w:pPr>
            <w:r>
              <w:rPr>
                <w:rFonts w:hint="eastAsia" w:ascii="宋体" w:hAnsi="宋体" w:eastAsia="宋体" w:cs="宋体"/>
                <w:b w:val="0"/>
                <w:bCs w:val="0"/>
                <w:color w:val="000000"/>
              </w:rPr>
              <w:t>普通证</w:t>
            </w:r>
            <w:r>
              <w:rPr>
                <w:rFonts w:hint="eastAsia" w:ascii="宋体" w:hAnsi="宋体" w:eastAsia="宋体" w:cs="宋体"/>
                <w:b w:val="0"/>
                <w:bCs w:val="0"/>
                <w:color w:val="000000"/>
                <w:spacing w:val="-2"/>
              </w:rPr>
              <w:t>券</w:t>
            </w:r>
            <w:r>
              <w:rPr>
                <w:rFonts w:hint="eastAsia" w:ascii="宋体" w:hAnsi="宋体" w:eastAsia="宋体" w:cs="宋体"/>
                <w:b w:val="0"/>
                <w:bCs w:val="0"/>
                <w:color w:val="000000"/>
              </w:rPr>
              <w:t>账</w:t>
            </w:r>
            <w:r>
              <w:rPr>
                <w:rFonts w:hint="eastAsia" w:ascii="宋体" w:hAnsi="宋体" w:eastAsia="宋体" w:cs="宋体"/>
                <w:b w:val="0"/>
                <w:bCs w:val="0"/>
                <w:color w:val="000000"/>
                <w:spacing w:val="-2"/>
              </w:rPr>
              <w:t>号</w:t>
            </w:r>
          </w:p>
        </w:tc>
        <w:tc>
          <w:tcPr>
            <w:tcW w:w="1413" w:type="dxa"/>
            <w:vMerge w:val="restart"/>
            <w:tcBorders>
              <w:bottom w:val="nil"/>
            </w:tcBorders>
            <w:vAlign w:val="center"/>
          </w:tcPr>
          <w:p w14:paraId="1D37453A">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010302"/>
              </w:rPr>
            </w:pPr>
            <w:r>
              <w:rPr>
                <w:rFonts w:hint="eastAsia" w:ascii="宋体" w:hAnsi="宋体" w:eastAsia="宋体" w:cs="宋体"/>
                <w:b w:val="0"/>
                <w:bCs w:val="0"/>
                <w:color w:val="000000"/>
              </w:rPr>
              <w:t>上海、</w:t>
            </w:r>
            <w:r>
              <w:rPr>
                <w:rFonts w:hint="eastAsia" w:ascii="宋体" w:hAnsi="宋体" w:eastAsia="宋体" w:cs="宋体"/>
                <w:b w:val="0"/>
                <w:bCs w:val="0"/>
                <w:color w:val="000000"/>
                <w:spacing w:val="-2"/>
              </w:rPr>
              <w:t>深</w:t>
            </w:r>
            <w:r>
              <w:rPr>
                <w:rFonts w:hint="eastAsia" w:ascii="宋体" w:hAnsi="宋体" w:eastAsia="宋体" w:cs="宋体"/>
                <w:b w:val="0"/>
                <w:bCs w:val="0"/>
                <w:color w:val="000000"/>
              </w:rPr>
              <w:t>圳</w:t>
            </w:r>
          </w:p>
        </w:tc>
        <w:tc>
          <w:tcPr>
            <w:tcW w:w="2972" w:type="dxa"/>
            <w:vMerge w:val="restart"/>
            <w:tcBorders>
              <w:bottom w:val="nil"/>
            </w:tcBorders>
            <w:vAlign w:val="center"/>
          </w:tcPr>
          <w:p w14:paraId="6B519774">
            <w:pPr>
              <w:keepNext w:val="0"/>
              <w:keepLines w:val="0"/>
              <w:pageBreakBefore w:val="0"/>
              <w:widowControl w:val="0"/>
              <w:kinsoku/>
              <w:wordWrap/>
              <w:overflowPunct/>
              <w:topLinePunct w:val="0"/>
              <w:autoSpaceDE/>
              <w:autoSpaceDN/>
              <w:bidi w:val="0"/>
              <w:adjustRightInd/>
              <w:snapToGrid/>
              <w:spacing w:line="312" w:lineRule="exact"/>
              <w:ind w:right="145"/>
              <w:jc w:val="center"/>
              <w:textAlignment w:val="auto"/>
              <w:rPr>
                <w:rFonts w:hint="eastAsia" w:ascii="宋体" w:hAnsi="宋体" w:eastAsia="宋体" w:cs="宋体"/>
                <w:b w:val="0"/>
                <w:bCs w:val="0"/>
                <w:color w:val="010302"/>
                <w:lang w:eastAsia="zh-CN"/>
              </w:rPr>
            </w:pPr>
            <w:r>
              <w:rPr>
                <w:rFonts w:hint="eastAsia" w:ascii="宋体" w:hAnsi="宋体" w:eastAsia="宋体" w:cs="宋体"/>
                <w:b w:val="0"/>
                <w:bCs w:val="0"/>
                <w:color w:val="000000"/>
                <w:lang w:eastAsia="zh-CN"/>
              </w:rPr>
              <w:t>ET</w:t>
            </w:r>
            <w:r>
              <w:rPr>
                <w:rFonts w:hint="eastAsia" w:ascii="宋体" w:hAnsi="宋体" w:eastAsia="宋体" w:cs="宋体"/>
                <w:b w:val="0"/>
                <w:bCs w:val="0"/>
                <w:color w:val="000000"/>
                <w:spacing w:val="-2"/>
                <w:lang w:eastAsia="zh-CN"/>
              </w:rPr>
              <w:t>F</w:t>
            </w:r>
            <w:r>
              <w:rPr>
                <w:rFonts w:hint="eastAsia" w:ascii="宋体" w:hAnsi="宋体" w:eastAsia="宋体" w:cs="宋体"/>
                <w:b w:val="0"/>
                <w:bCs w:val="0"/>
                <w:color w:val="000000"/>
                <w:lang w:eastAsia="zh-CN"/>
              </w:rPr>
              <w:t>基金</w:t>
            </w:r>
          </w:p>
        </w:tc>
        <w:tc>
          <w:tcPr>
            <w:tcW w:w="2560" w:type="dxa"/>
            <w:vAlign w:val="center"/>
          </w:tcPr>
          <w:p w14:paraId="34E24282">
            <w:pPr>
              <w:keepNext w:val="0"/>
              <w:keepLines w:val="0"/>
              <w:pageBreakBefore w:val="0"/>
              <w:widowControl w:val="0"/>
              <w:kinsoku/>
              <w:wordWrap/>
              <w:overflowPunct/>
              <w:topLinePunct w:val="0"/>
              <w:autoSpaceDE/>
              <w:autoSpaceDN/>
              <w:bidi w:val="0"/>
              <w:adjustRightInd/>
              <w:snapToGrid/>
              <w:spacing w:before="9"/>
              <w:jc w:val="center"/>
              <w:textAlignment w:val="auto"/>
              <w:rPr>
                <w:rFonts w:hint="eastAsia" w:ascii="宋体" w:hAnsi="宋体" w:eastAsia="宋体" w:cs="宋体"/>
                <w:b w:val="0"/>
                <w:bCs w:val="0"/>
                <w:color w:val="010302"/>
              </w:rPr>
            </w:pPr>
            <w:r>
              <w:rPr>
                <w:rFonts w:hint="eastAsia" w:ascii="宋体" w:hAnsi="宋体" w:eastAsia="宋体" w:cs="宋体"/>
                <w:b w:val="0"/>
                <w:bCs w:val="0"/>
                <w:color w:val="000000"/>
              </w:rPr>
              <w:t>买</w:t>
            </w:r>
            <w:r>
              <w:rPr>
                <w:rFonts w:hint="eastAsia" w:ascii="宋体" w:hAnsi="宋体" w:eastAsia="宋体" w:cs="宋体"/>
                <w:b w:val="0"/>
                <w:bCs w:val="0"/>
                <w:color w:val="000000"/>
                <w:spacing w:val="-2"/>
              </w:rPr>
              <w:t>入</w:t>
            </w:r>
          </w:p>
        </w:tc>
      </w:tr>
      <w:tr w14:paraId="45BC8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 w:hRule="atLeast"/>
        </w:trPr>
        <w:tc>
          <w:tcPr>
            <w:tcW w:w="1546" w:type="dxa"/>
            <w:vMerge w:val="continue"/>
            <w:tcBorders>
              <w:top w:val="nil"/>
            </w:tcBorders>
            <w:vAlign w:val="center"/>
          </w:tcPr>
          <w:p w14:paraId="64708176">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rPr>
            </w:pPr>
          </w:p>
        </w:tc>
        <w:tc>
          <w:tcPr>
            <w:tcW w:w="1413" w:type="dxa"/>
            <w:vMerge w:val="continue"/>
            <w:tcBorders>
              <w:top w:val="nil"/>
            </w:tcBorders>
            <w:vAlign w:val="center"/>
          </w:tcPr>
          <w:p w14:paraId="676843FC">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rPr>
            </w:pPr>
          </w:p>
        </w:tc>
        <w:tc>
          <w:tcPr>
            <w:tcW w:w="2972" w:type="dxa"/>
            <w:vMerge w:val="continue"/>
            <w:tcBorders>
              <w:top w:val="nil"/>
            </w:tcBorders>
            <w:vAlign w:val="center"/>
          </w:tcPr>
          <w:p w14:paraId="65951EBF">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rPr>
            </w:pPr>
          </w:p>
        </w:tc>
        <w:tc>
          <w:tcPr>
            <w:tcW w:w="2560" w:type="dxa"/>
            <w:vAlign w:val="center"/>
          </w:tcPr>
          <w:p w14:paraId="678B6B0C">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010302"/>
              </w:rPr>
            </w:pPr>
            <w:r>
              <w:rPr>
                <w:rFonts w:hint="eastAsia" w:ascii="宋体" w:hAnsi="宋体" w:eastAsia="宋体" w:cs="宋体"/>
                <w:b w:val="0"/>
                <w:bCs w:val="0"/>
                <w:color w:val="000000"/>
              </w:rPr>
              <w:t>卖</w:t>
            </w:r>
            <w:r>
              <w:rPr>
                <w:rFonts w:hint="eastAsia" w:ascii="宋体" w:hAnsi="宋体" w:eastAsia="宋体" w:cs="宋体"/>
                <w:b w:val="0"/>
                <w:bCs w:val="0"/>
                <w:color w:val="000000"/>
                <w:spacing w:val="-2"/>
              </w:rPr>
              <w:t>出</w:t>
            </w:r>
          </w:p>
        </w:tc>
      </w:tr>
    </w:tbl>
    <w:p w14:paraId="7F2B10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点击主菜单【特色交易】→【组合交易】，进入组合交易界面，界面包含组合管理、成分股管理、下单面板、组合订单监控、委托、成交、持仓等功能。界面如下图所示：</w:t>
      </w:r>
    </w:p>
    <w:p w14:paraId="7DC7CC0D">
      <w:pPr>
        <w:rPr>
          <w:rFonts w:hint="eastAsia" w:ascii="宋体" w:hAnsi="宋体" w:eastAsia="宋体" w:cs="宋体"/>
          <w:lang w:val="en-US" w:eastAsia="zh-CN"/>
        </w:rPr>
      </w:pPr>
      <w:r>
        <w:rPr>
          <w:rFonts w:hint="eastAsia" w:ascii="宋体" w:hAnsi="宋体" w:eastAsia="宋体" w:cs="宋体"/>
        </w:rPr>
        <w:drawing>
          <wp:inline distT="0" distB="0" distL="114300" distR="114300">
            <wp:extent cx="5267325" cy="2635250"/>
            <wp:effectExtent l="0" t="0" r="9525" b="12700"/>
            <wp:docPr id="17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47"/>
                    <pic:cNvPicPr>
                      <a:picLocks noChangeAspect="1"/>
                    </pic:cNvPicPr>
                  </pic:nvPicPr>
                  <pic:blipFill>
                    <a:blip r:embed="rId60"/>
                    <a:stretch>
                      <a:fillRect/>
                    </a:stretch>
                  </pic:blipFill>
                  <pic:spPr>
                    <a:xfrm>
                      <a:off x="0" y="0"/>
                      <a:ext cx="5267325" cy="2635250"/>
                    </a:xfrm>
                    <a:prstGeom prst="rect">
                      <a:avLst/>
                    </a:prstGeom>
                    <a:noFill/>
                    <a:ln>
                      <a:noFill/>
                    </a:ln>
                  </pic:spPr>
                </pic:pic>
              </a:graphicData>
            </a:graphic>
          </wp:inline>
        </w:drawing>
      </w:r>
    </w:p>
    <w:p w14:paraId="4C215F34">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组合管理</w:t>
      </w:r>
    </w:p>
    <w:p w14:paraId="68BAA4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在组合交易界面的最左侧是组合列表，支持用户在组合列表中进行手工创建组合、文件导入组合和组合日常管理等操作。组合列表中的组合有效期为导入或创建后一个月，过期系统自动删除。</w:t>
      </w:r>
    </w:p>
    <w:p w14:paraId="72310BB2">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手工创建组合</w:t>
      </w:r>
    </w:p>
    <w:p w14:paraId="2BC3BD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点击【手工创建】按钮，在【新建组合】弹窗中完成组合模板维护。</w:t>
      </w:r>
    </w:p>
    <w:p w14:paraId="71C1A7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（1）手工逐个添加证券代码、委托数量或相对权重等信息完成组合创建，操作如下图所示：</w:t>
      </w:r>
    </w:p>
    <w:p w14:paraId="68787C32">
      <w:pPr>
        <w:numPr>
          <w:ilvl w:val="0"/>
          <w:numId w:val="0"/>
        </w:numPr>
        <w:rPr>
          <w:rFonts w:hint="eastAsia" w:ascii="宋体" w:hAnsi="宋体" w:eastAsia="宋体" w:cs="宋体"/>
        </w:rPr>
      </w:pPr>
      <w:r>
        <w:rPr>
          <w:rFonts w:hint="eastAsia" w:ascii="宋体" w:hAnsi="宋体" w:eastAsia="宋体" w:cs="宋体"/>
        </w:rPr>
        <w:drawing>
          <wp:inline distT="0" distB="0" distL="114300" distR="114300">
            <wp:extent cx="5266055" cy="2639060"/>
            <wp:effectExtent l="0" t="0" r="0" b="0"/>
            <wp:docPr id="17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48"/>
                    <pic:cNvPicPr>
                      <a:picLocks noChangeAspect="1"/>
                    </pic:cNvPicPr>
                  </pic:nvPicPr>
                  <pic:blipFill>
                    <a:blip r:embed="rId61"/>
                    <a:srcRect t="1703"/>
                    <a:stretch>
                      <a:fillRect/>
                    </a:stretch>
                  </pic:blipFill>
                  <pic:spPr>
                    <a:xfrm>
                      <a:off x="0" y="0"/>
                      <a:ext cx="5266055" cy="2639060"/>
                    </a:xfrm>
                    <a:prstGeom prst="rect">
                      <a:avLst/>
                    </a:prstGeom>
                    <a:noFill/>
                    <a:ln>
                      <a:noFill/>
                    </a:ln>
                  </pic:spPr>
                </pic:pic>
              </a:graphicData>
            </a:graphic>
          </wp:inline>
        </w:drawing>
      </w:r>
    </w:p>
    <w:p w14:paraId="24E706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（2）快速对当前用户关联的单个资金账号下的持仓进行批量减仓，操作如图所示：</w:t>
      </w:r>
    </w:p>
    <w:p w14:paraId="28133240">
      <w:pPr>
        <w:numPr>
          <w:ilvl w:val="0"/>
          <w:numId w:val="0"/>
        </w:numPr>
        <w:rPr>
          <w:rFonts w:hint="eastAsia" w:ascii="宋体" w:hAnsi="宋体" w:eastAsia="宋体" w:cs="宋体"/>
        </w:rPr>
      </w:pPr>
      <w:r>
        <w:rPr>
          <w:rFonts w:hint="eastAsia" w:ascii="宋体" w:hAnsi="宋体" w:eastAsia="宋体" w:cs="宋体"/>
        </w:rPr>
        <w:drawing>
          <wp:inline distT="0" distB="0" distL="114300" distR="114300">
            <wp:extent cx="5266055" cy="2628900"/>
            <wp:effectExtent l="0" t="0" r="0" b="0"/>
            <wp:docPr id="18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49"/>
                    <pic:cNvPicPr>
                      <a:picLocks noChangeAspect="1"/>
                    </pic:cNvPicPr>
                  </pic:nvPicPr>
                  <pic:blipFill>
                    <a:blip r:embed="rId62"/>
                    <a:srcRect t="2081"/>
                    <a:stretch>
                      <a:fillRect/>
                    </a:stretch>
                  </pic:blipFill>
                  <pic:spPr>
                    <a:xfrm>
                      <a:off x="0" y="0"/>
                      <a:ext cx="5266055" cy="2628900"/>
                    </a:xfrm>
                    <a:prstGeom prst="rect">
                      <a:avLst/>
                    </a:prstGeom>
                    <a:noFill/>
                    <a:ln>
                      <a:noFill/>
                    </a:ln>
                  </pic:spPr>
                </pic:pic>
              </a:graphicData>
            </a:graphic>
          </wp:inline>
        </w:drawing>
      </w:r>
    </w:p>
    <w:p w14:paraId="6DD3CEEA">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文件导入组合</w:t>
      </w:r>
    </w:p>
    <w:p w14:paraId="068659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支持通过手工导入组合和自动导入组合两种方式完成组合文件导入。</w:t>
      </w:r>
    </w:p>
    <w:p w14:paraId="69214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（1）手工导入组合</w:t>
      </w:r>
    </w:p>
    <w:p w14:paraId="5E9B369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组合管理支持手工导入组合文件，点击【文件导入】按钮即可导入组合。导入组合支持CSV、 EXCEL两种格式，组合模板可点击“文件导入”按钮旁的“？”按钮，自行下载组合模板。</w:t>
      </w:r>
    </w:p>
    <w:p w14:paraId="759F12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操作如图所示： </w:t>
      </w:r>
    </w:p>
    <w:p w14:paraId="307A05A2">
      <w:pPr>
        <w:numPr>
          <w:ilvl w:val="0"/>
          <w:numId w:val="0"/>
        </w:numPr>
        <w:rPr>
          <w:rFonts w:hint="eastAsia" w:ascii="宋体" w:hAnsi="宋体" w:eastAsia="宋体" w:cs="宋体"/>
        </w:rPr>
      </w:pPr>
      <w:r>
        <w:rPr>
          <w:rFonts w:hint="eastAsia" w:ascii="宋体" w:hAnsi="宋体" w:eastAsia="宋体" w:cs="宋体"/>
        </w:rPr>
        <w:drawing>
          <wp:inline distT="0" distB="0" distL="114300" distR="114300">
            <wp:extent cx="5261610" cy="2501265"/>
            <wp:effectExtent l="0" t="0" r="15240" b="13335"/>
            <wp:docPr id="18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50"/>
                    <pic:cNvPicPr>
                      <a:picLocks noChangeAspect="1"/>
                    </pic:cNvPicPr>
                  </pic:nvPicPr>
                  <pic:blipFill>
                    <a:blip r:embed="rId63"/>
                    <a:stretch>
                      <a:fillRect/>
                    </a:stretch>
                  </pic:blipFill>
                  <pic:spPr>
                    <a:xfrm>
                      <a:off x="0" y="0"/>
                      <a:ext cx="5261610" cy="2501265"/>
                    </a:xfrm>
                    <a:prstGeom prst="rect">
                      <a:avLst/>
                    </a:prstGeom>
                    <a:noFill/>
                    <a:ln>
                      <a:noFill/>
                    </a:ln>
                  </pic:spPr>
                </pic:pic>
              </a:graphicData>
            </a:graphic>
          </wp:inline>
        </w:drawing>
      </w:r>
    </w:p>
    <w:p w14:paraId="118F2F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（2）自动导入组合</w:t>
      </w:r>
    </w:p>
    <w:p w14:paraId="5EFCC1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在指定组合扫描路径后，系统会自动导入组合文件，自动导入规则：</w:t>
      </w:r>
    </w:p>
    <w:p w14:paraId="0D7EBA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（1）每隔1秒扫描一次 文件夹，捡测到新的组合文件名会自动导入；</w:t>
      </w:r>
    </w:p>
    <w:p w14:paraId="571D8D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（2）导入成功后的组合，支持自动删除或移至 备份文件夹两种处理方式。操作如图所示：</w:t>
      </w:r>
    </w:p>
    <w:p w14:paraId="03DFCA98">
      <w:pPr>
        <w:numPr>
          <w:ilvl w:val="0"/>
          <w:numId w:val="0"/>
        </w:numPr>
        <w:ind w:leftChars="0"/>
        <w:rPr>
          <w:rFonts w:hint="eastAsia" w:ascii="宋体" w:hAnsi="宋体" w:eastAsia="宋体" w:cs="宋体"/>
        </w:rPr>
      </w:pPr>
      <w:r>
        <w:rPr>
          <w:rFonts w:hint="eastAsia" w:ascii="宋体" w:hAnsi="宋体" w:eastAsia="宋体" w:cs="宋体"/>
        </w:rPr>
        <w:drawing>
          <wp:inline distT="0" distB="0" distL="114300" distR="114300">
            <wp:extent cx="5261610" cy="2611120"/>
            <wp:effectExtent l="0" t="0" r="15240" b="17780"/>
            <wp:docPr id="10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63"/>
                    <pic:cNvPicPr>
                      <a:picLocks noChangeAspect="1"/>
                    </pic:cNvPicPr>
                  </pic:nvPicPr>
                  <pic:blipFill>
                    <a:blip r:embed="rId64"/>
                    <a:stretch>
                      <a:fillRect/>
                    </a:stretch>
                  </pic:blipFill>
                  <pic:spPr>
                    <a:xfrm>
                      <a:off x="0" y="0"/>
                      <a:ext cx="5261610" cy="2611120"/>
                    </a:xfrm>
                    <a:prstGeom prst="rect">
                      <a:avLst/>
                    </a:prstGeom>
                    <a:noFill/>
                    <a:ln>
                      <a:noFill/>
                    </a:ln>
                  </pic:spPr>
                </pic:pic>
              </a:graphicData>
            </a:graphic>
          </wp:inline>
        </w:drawing>
      </w:r>
    </w:p>
    <w:p w14:paraId="7BC302BD">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组合日常管理</w:t>
      </w:r>
    </w:p>
    <w:p w14:paraId="767AED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在组合列表中选择选中某个组合后右击，可对该组合进行复制、删除、置顶、置底、上移、 下移等操作。操作如图所示：</w:t>
      </w:r>
    </w:p>
    <w:p w14:paraId="3AF436DE">
      <w:pPr>
        <w:numPr>
          <w:ilvl w:val="0"/>
          <w:numId w:val="0"/>
        </w:numPr>
        <w:ind w:leftChars="0"/>
        <w:jc w:val="center"/>
        <w:rPr>
          <w:rFonts w:hint="eastAsia" w:ascii="宋体" w:hAnsi="宋体" w:eastAsia="宋体" w:cs="宋体"/>
        </w:rPr>
      </w:pPr>
      <w:r>
        <w:rPr>
          <w:rFonts w:hint="eastAsia" w:ascii="宋体" w:hAnsi="宋体" w:eastAsia="宋体" w:cs="宋体"/>
        </w:rPr>
        <w:drawing>
          <wp:inline distT="0" distB="0" distL="114300" distR="114300">
            <wp:extent cx="2295525" cy="4829175"/>
            <wp:effectExtent l="0" t="0" r="9525" b="9525"/>
            <wp:docPr id="18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51"/>
                    <pic:cNvPicPr>
                      <a:picLocks noChangeAspect="1"/>
                    </pic:cNvPicPr>
                  </pic:nvPicPr>
                  <pic:blipFill>
                    <a:blip r:embed="rId65"/>
                    <a:stretch>
                      <a:fillRect/>
                    </a:stretch>
                  </pic:blipFill>
                  <pic:spPr>
                    <a:xfrm>
                      <a:off x="0" y="0"/>
                      <a:ext cx="2295525" cy="4829175"/>
                    </a:xfrm>
                    <a:prstGeom prst="rect">
                      <a:avLst/>
                    </a:prstGeom>
                    <a:noFill/>
                    <a:ln>
                      <a:noFill/>
                    </a:ln>
                  </pic:spPr>
                </pic:pic>
              </a:graphicData>
            </a:graphic>
          </wp:inline>
        </w:drawing>
      </w:r>
    </w:p>
    <w:p w14:paraId="6739F3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双击组合名称单元格，可对组合名称进行重命名操作。</w:t>
      </w:r>
    </w:p>
    <w:p w14:paraId="518434A8">
      <w:pPr>
        <w:numPr>
          <w:ilvl w:val="0"/>
          <w:numId w:val="0"/>
        </w:numPr>
        <w:ind w:leftChars="0"/>
        <w:jc w:val="center"/>
        <w:rPr>
          <w:rFonts w:hint="eastAsia" w:ascii="宋体" w:hAnsi="宋体" w:eastAsia="宋体" w:cs="宋体"/>
        </w:rPr>
      </w:pPr>
    </w:p>
    <w:p w14:paraId="1C74FACB">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成分股管理</w:t>
      </w:r>
    </w:p>
    <w:p w14:paraId="1485B48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在成分股列表查询成分股信息，并对成分股进行管理操作。  </w:t>
      </w:r>
    </w:p>
    <w:p w14:paraId="39D60C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1.成分股快捷操作功能</w:t>
      </w:r>
    </w:p>
    <w:p w14:paraId="787DF3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在组合列表选中某个组合后，在成分股列表中展示该组合中所有成分股的信息，包括代码、 市场、委托数量、最新价、涨跌幅等信息。支持快速对停牌股、涨停股、跌停股的做过滤处 理，以及完成零股处理、使用持仓和按可用卖等快捷操作。操作如图所示：</w:t>
      </w:r>
    </w:p>
    <w:p w14:paraId="5F816BC0">
      <w:pPr>
        <w:numPr>
          <w:ilvl w:val="0"/>
          <w:numId w:val="0"/>
        </w:numPr>
        <w:ind w:leftChars="0"/>
        <w:jc w:val="left"/>
        <w:rPr>
          <w:rFonts w:hint="eastAsia" w:ascii="宋体" w:hAnsi="宋体" w:eastAsia="宋体" w:cs="宋体"/>
          <w:lang w:val="en-US" w:eastAsia="zh-CN"/>
        </w:rPr>
      </w:pPr>
      <w:r>
        <w:rPr>
          <w:rFonts w:hint="eastAsia" w:ascii="宋体" w:hAnsi="宋体" w:eastAsia="宋体" w:cs="宋体"/>
        </w:rPr>
        <w:drawing>
          <wp:inline distT="0" distB="0" distL="114300" distR="114300">
            <wp:extent cx="5263515" cy="2060575"/>
            <wp:effectExtent l="0" t="0" r="13335" b="15875"/>
            <wp:docPr id="18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52"/>
                    <pic:cNvPicPr>
                      <a:picLocks noChangeAspect="1"/>
                    </pic:cNvPicPr>
                  </pic:nvPicPr>
                  <pic:blipFill>
                    <a:blip r:embed="rId66"/>
                    <a:stretch>
                      <a:fillRect/>
                    </a:stretch>
                  </pic:blipFill>
                  <pic:spPr>
                    <a:xfrm>
                      <a:off x="0" y="0"/>
                      <a:ext cx="5263515" cy="2060575"/>
                    </a:xfrm>
                    <a:prstGeom prst="rect">
                      <a:avLst/>
                    </a:prstGeom>
                    <a:noFill/>
                    <a:ln>
                      <a:noFill/>
                    </a:ln>
                  </pic:spPr>
                </pic:pic>
              </a:graphicData>
            </a:graphic>
          </wp:inline>
        </w:drawing>
      </w:r>
    </w:p>
    <w:p w14:paraId="296CB8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2.成分股编辑</w:t>
      </w:r>
    </w:p>
    <w:p w14:paraId="5A7824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点击【编辑】按钮，实现新增成分股、删除成分股、及修改委托方向、样本数量、 指定价和相对权重等字段。修改后点击【保存】按钮，完成成分股信息的调整。</w:t>
      </w:r>
    </w:p>
    <w:p w14:paraId="77484F15">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组合下单</w:t>
      </w:r>
    </w:p>
    <w:p w14:paraId="3B13ED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在组合交易界面的最右侧是下单面板，下单面板包含资产账号、价格模式、下单模式、下单 按钮等要素。在组合列表选中要下单的组合后，操作如图所示：</w:t>
      </w:r>
    </w:p>
    <w:p w14:paraId="24CFD703">
      <w:pPr>
        <w:numPr>
          <w:ilvl w:val="0"/>
          <w:numId w:val="0"/>
        </w:numPr>
        <w:ind w:leftChars="0"/>
        <w:jc w:val="center"/>
        <w:rPr>
          <w:rFonts w:hint="eastAsia" w:ascii="宋体" w:hAnsi="宋体" w:eastAsia="宋体" w:cs="宋体"/>
        </w:rPr>
      </w:pPr>
      <w:r>
        <w:rPr>
          <w:rFonts w:hint="eastAsia" w:ascii="宋体" w:hAnsi="宋体" w:eastAsia="宋体" w:cs="宋体"/>
        </w:rPr>
        <w:drawing>
          <wp:inline distT="0" distB="0" distL="114300" distR="114300">
            <wp:extent cx="5260975" cy="1532890"/>
            <wp:effectExtent l="0" t="0" r="15875" b="10160"/>
            <wp:docPr id="18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53"/>
                    <pic:cNvPicPr>
                      <a:picLocks noChangeAspect="1"/>
                    </pic:cNvPicPr>
                  </pic:nvPicPr>
                  <pic:blipFill>
                    <a:blip r:embed="rId67"/>
                    <a:stretch>
                      <a:fillRect/>
                    </a:stretch>
                  </pic:blipFill>
                  <pic:spPr>
                    <a:xfrm>
                      <a:off x="0" y="0"/>
                      <a:ext cx="5260975" cy="1532890"/>
                    </a:xfrm>
                    <a:prstGeom prst="rect">
                      <a:avLst/>
                    </a:prstGeom>
                    <a:noFill/>
                    <a:ln>
                      <a:noFill/>
                    </a:ln>
                  </pic:spPr>
                </pic:pic>
              </a:graphicData>
            </a:graphic>
          </wp:inline>
        </w:drawing>
      </w:r>
    </w:p>
    <w:p w14:paraId="5D21F6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rPr>
      </w:pPr>
      <w:r>
        <w:rPr>
          <w:rFonts w:hint="eastAsia" w:ascii="宋体" w:hAnsi="宋体" w:eastAsia="宋体" w:cs="宋体"/>
          <w:lang w:val="en-US" w:eastAsia="zh-CN"/>
        </w:rPr>
        <w:t>点击“买入组合”/“卖出组合”后弹出二次确认弹窗，点击“确定”完成下单。</w:t>
      </w:r>
    </w:p>
    <w:p w14:paraId="4874E1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1.价格模式</w:t>
      </w:r>
    </w:p>
    <w:p w14:paraId="71F0BF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（1）限价模式</w:t>
      </w:r>
    </w:p>
    <w:p w14:paraId="0B6DD4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限价模式下，需选择买入价格和卖出价格的价格类型及超价设置，下单时组合中委托方向为 买入的成分股按买入价格报单，组合中委托方向为卖出的成分股按卖出价格报单。操作如图 所示：</w:t>
      </w:r>
    </w:p>
    <w:p w14:paraId="47E7B03D">
      <w:pPr>
        <w:numPr>
          <w:ilvl w:val="0"/>
          <w:numId w:val="0"/>
        </w:numPr>
        <w:ind w:leftChars="0"/>
        <w:jc w:val="center"/>
        <w:rPr>
          <w:rFonts w:hint="eastAsia" w:ascii="宋体" w:hAnsi="宋体" w:eastAsia="宋体" w:cs="宋体"/>
        </w:rPr>
      </w:pPr>
      <w:r>
        <w:rPr>
          <w:rFonts w:hint="eastAsia" w:ascii="宋体" w:hAnsi="宋体" w:eastAsia="宋体" w:cs="宋体"/>
        </w:rPr>
        <w:drawing>
          <wp:inline distT="0" distB="0" distL="114300" distR="114300">
            <wp:extent cx="2419350" cy="3743325"/>
            <wp:effectExtent l="0" t="0" r="9525" b="2540"/>
            <wp:docPr id="18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54"/>
                    <pic:cNvPicPr>
                      <a:picLocks noChangeAspect="1"/>
                    </pic:cNvPicPr>
                  </pic:nvPicPr>
                  <pic:blipFill>
                    <a:blip r:embed="rId68"/>
                    <a:stretch>
                      <a:fillRect/>
                    </a:stretch>
                  </pic:blipFill>
                  <pic:spPr>
                    <a:xfrm>
                      <a:off x="0" y="0"/>
                      <a:ext cx="2419350" cy="3743325"/>
                    </a:xfrm>
                    <a:prstGeom prst="rect">
                      <a:avLst/>
                    </a:prstGeom>
                    <a:noFill/>
                    <a:ln>
                      <a:noFill/>
                    </a:ln>
                  </pic:spPr>
                </pic:pic>
              </a:graphicData>
            </a:graphic>
          </wp:inline>
        </w:drawing>
      </w:r>
    </w:p>
    <w:p w14:paraId="09DEEE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买入价格和卖出价格选项说明：</w:t>
      </w:r>
      <w:r>
        <w:rPr>
          <w:rFonts w:hint="eastAsia" w:ascii="宋体" w:hAnsi="宋体" w:eastAsia="宋体" w:cs="宋体"/>
          <w:lang w:val="en-US" w:eastAsia="zh-CN"/>
        </w:rPr>
        <mc:AlternateContent>
          <mc:Choice Requires="wps">
            <w:drawing>
              <wp:anchor distT="0" distB="0" distL="114300" distR="114300" simplePos="0" relativeHeight="251666432" behindDoc="1" locked="0" layoutInCell="1" allowOverlap="1">
                <wp:simplePos x="0" y="0"/>
                <wp:positionH relativeFrom="page">
                  <wp:posOffset>1146175</wp:posOffset>
                </wp:positionH>
                <wp:positionV relativeFrom="paragraph">
                  <wp:posOffset>95885</wp:posOffset>
                </wp:positionV>
                <wp:extent cx="807720" cy="67310"/>
                <wp:effectExtent l="0" t="0" r="11430" b="8890"/>
                <wp:wrapNone/>
                <wp:docPr id="295" name="Freeform 295"/>
                <wp:cNvGraphicFramePr/>
                <a:graphic xmlns:a="http://schemas.openxmlformats.org/drawingml/2006/main">
                  <a:graphicData uri="http://schemas.microsoft.com/office/word/2010/wordprocessingShape">
                    <wps:wsp>
                      <wps:cNvSpPr/>
                      <wps:spPr>
                        <a:xfrm>
                          <a:off x="0" y="0"/>
                          <a:ext cx="807720" cy="67056"/>
                        </a:xfrm>
                        <a:custGeom>
                          <a:avLst/>
                          <a:gdLst/>
                          <a:ahLst/>
                          <a:cxnLst/>
                          <a:rect l="l" t="t" r="r" b="b"/>
                          <a:pathLst>
                            <a:path w="807720" h="67056">
                              <a:moveTo>
                                <a:pt x="0" y="67056"/>
                              </a:moveTo>
                              <a:lnTo>
                                <a:pt x="807720" y="67056"/>
                              </a:lnTo>
                              <a:lnTo>
                                <a:pt x="807720" y="0"/>
                              </a:lnTo>
                              <a:lnTo>
                                <a:pt x="0" y="0"/>
                              </a:lnTo>
                              <a:lnTo>
                                <a:pt x="0" y="6705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95" o:spid="_x0000_s1026" o:spt="100" style="position:absolute;left:0pt;margin-left:90.25pt;margin-top:7.55pt;height:5.3pt;width:63.6pt;mso-position-horizontal-relative:page;z-index:-251650048;mso-width-relative:page;mso-height-relative:page;" fillcolor="#FFFFFF" filled="t" stroked="f" coordsize="807720,67056" o:gfxdata="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V7Y8NkAAAAJAQAADwAAAAAAAAABACAAAAAiAAAAZHJz&#10;L2Rvd25yZXYueG1sUEsBAhQAFAAAAAgAh07iQB8Zwzw8AgAAHQUAAA4AAAAAAAAAAQAgAAAAKAEA&#10;AGRycy9lMm9Eb2MueG1sUEsFBgAAAAAGAAYAWQEAANYFAAAAAA==&#10;" path="m0,67056l807720,67056,807720,0,0,0,0,67056xe">
                <v:fill on="t" focussize="0,0"/>
                <v:stroke on="f" weight="1pt" miterlimit="8" joinstyle="miter"/>
                <v:imagedata o:title=""/>
                <o:lock v:ext="edit" aspectratio="f"/>
              </v:shape>
            </w:pict>
          </mc:Fallback>
        </mc:AlternateContent>
      </w:r>
      <w:r>
        <w:rPr>
          <w:rFonts w:hint="eastAsia" w:ascii="宋体" w:hAnsi="宋体" w:eastAsia="宋体" w:cs="宋体"/>
          <w:lang w:val="en-US" w:eastAsia="zh-CN"/>
        </w:rPr>
        <mc:AlternateContent>
          <mc:Choice Requires="wps">
            <w:drawing>
              <wp:anchor distT="0" distB="0" distL="114300" distR="114300" simplePos="0" relativeHeight="251667456" behindDoc="1" locked="0" layoutInCell="1" allowOverlap="1">
                <wp:simplePos x="0" y="0"/>
                <wp:positionH relativeFrom="page">
                  <wp:posOffset>1953895</wp:posOffset>
                </wp:positionH>
                <wp:positionV relativeFrom="paragraph">
                  <wp:posOffset>95885</wp:posOffset>
                </wp:positionV>
                <wp:extent cx="2704465" cy="67310"/>
                <wp:effectExtent l="0" t="0" r="635" b="8890"/>
                <wp:wrapNone/>
                <wp:docPr id="296" name="Freeform 296"/>
                <wp:cNvGraphicFramePr/>
                <a:graphic xmlns:a="http://schemas.openxmlformats.org/drawingml/2006/main">
                  <a:graphicData uri="http://schemas.microsoft.com/office/word/2010/wordprocessingShape">
                    <wps:wsp>
                      <wps:cNvSpPr/>
                      <wps:spPr>
                        <a:xfrm>
                          <a:off x="0" y="0"/>
                          <a:ext cx="2704210" cy="67056"/>
                        </a:xfrm>
                        <a:custGeom>
                          <a:avLst/>
                          <a:gdLst/>
                          <a:ahLst/>
                          <a:cxnLst/>
                          <a:rect l="l" t="t" r="r" b="b"/>
                          <a:pathLst>
                            <a:path w="2704210" h="67056">
                              <a:moveTo>
                                <a:pt x="0" y="67056"/>
                              </a:moveTo>
                              <a:lnTo>
                                <a:pt x="2704210" y="67056"/>
                              </a:lnTo>
                              <a:lnTo>
                                <a:pt x="2704210" y="0"/>
                              </a:lnTo>
                              <a:lnTo>
                                <a:pt x="0" y="0"/>
                              </a:lnTo>
                              <a:lnTo>
                                <a:pt x="0" y="6705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96" o:spid="_x0000_s1026" o:spt="100" style="position:absolute;left:0pt;margin-left:153.85pt;margin-top:7.55pt;height:5.3pt;width:212.95pt;mso-position-horizontal-relative:page;z-index:-251649024;mso-width-relative:page;mso-height-relative:page;" fillcolor="#FFFFFF" filled="t" stroked="f" coordsize="2704210,67056" o:gfxdata="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u+vJNgAAAAJAQAADwAAAAAAAAABACAAAAAiAAAAZHJz&#10;L2Rvd25yZXYueG1sUEsBAhQAFAAAAAgAh07iQNNRPlc9AgAAIQUAAA4AAAAAAAAAAQAgAAAAJwEA&#10;AGRycy9lMm9Eb2MueG1sUEsFBgAAAAAGAAYAWQEAANYFAAAAAA==&#10;" path="m0,67056l2704210,67056,2704210,0,0,0,0,67056xe">
                <v:fill on="t" focussize="0,0"/>
                <v:stroke on="f" weight="1pt" miterlimit="8" joinstyle="miter"/>
                <v:imagedata o:title=""/>
                <o:lock v:ext="edit" aspectratio="f"/>
              </v:shape>
            </w:pict>
          </mc:Fallback>
        </mc:AlternateContent>
      </w:r>
      <w:r>
        <w:rPr>
          <w:rFonts w:hint="eastAsia" w:ascii="宋体" w:hAnsi="宋体" w:eastAsia="宋体" w:cs="宋体"/>
          <w:lang w:val="en-US" w:eastAsia="zh-CN"/>
        </w:rPr>
        <mc:AlternateContent>
          <mc:Choice Requires="wps">
            <w:drawing>
              <wp:anchor distT="0" distB="0" distL="114300" distR="114300" simplePos="0" relativeHeight="251668480" behindDoc="1" locked="0" layoutInCell="1" allowOverlap="1">
                <wp:simplePos x="0" y="0"/>
                <wp:positionH relativeFrom="page">
                  <wp:posOffset>4657725</wp:posOffset>
                </wp:positionH>
                <wp:positionV relativeFrom="paragraph">
                  <wp:posOffset>95885</wp:posOffset>
                </wp:positionV>
                <wp:extent cx="1757680" cy="67310"/>
                <wp:effectExtent l="0" t="0" r="13970" b="8890"/>
                <wp:wrapNone/>
                <wp:docPr id="297" name="Freeform 297"/>
                <wp:cNvGraphicFramePr/>
                <a:graphic xmlns:a="http://schemas.openxmlformats.org/drawingml/2006/main">
                  <a:graphicData uri="http://schemas.microsoft.com/office/word/2010/wordprocessingShape">
                    <wps:wsp>
                      <wps:cNvSpPr/>
                      <wps:spPr>
                        <a:xfrm>
                          <a:off x="0" y="0"/>
                          <a:ext cx="1757426" cy="67056"/>
                        </a:xfrm>
                        <a:custGeom>
                          <a:avLst/>
                          <a:gdLst/>
                          <a:ahLst/>
                          <a:cxnLst/>
                          <a:rect l="l" t="t" r="r" b="b"/>
                          <a:pathLst>
                            <a:path w="1757426" h="67056">
                              <a:moveTo>
                                <a:pt x="0" y="67056"/>
                              </a:moveTo>
                              <a:lnTo>
                                <a:pt x="1757426" y="67056"/>
                              </a:lnTo>
                              <a:lnTo>
                                <a:pt x="1757426" y="0"/>
                              </a:lnTo>
                              <a:lnTo>
                                <a:pt x="0" y="0"/>
                              </a:lnTo>
                              <a:lnTo>
                                <a:pt x="0" y="6705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97" o:spid="_x0000_s1026" o:spt="100" style="position:absolute;left:0pt;margin-left:366.75pt;margin-top:7.55pt;height:5.3pt;width:138.4pt;mso-position-horizontal-relative:page;z-index:-251648000;mso-width-relative:page;mso-height-relative:page;" fillcolor="#FFFFFF" filled="t" stroked="f" coordsize="1757426,67056" o:gfxdata="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VhvIXVAAAACgEAAA8AAAAAAAAAAQAgAAAAIgAAAGRycy9k&#10;b3ducmV2LnhtbFBLAQIUABQAAAAIAIdO4kCuZ23LPgIAACEFAAAOAAAAAAAAAAEAIAAAACQBAABk&#10;cnMvZTJvRG9jLnhtbFBLBQYAAAAABgAGAFkBAADUBQAAAAA=&#10;" path="m0,67056l1757426,67056,1757426,0,0,0,0,67056xe">
                <v:fill on="t" focussize="0,0"/>
                <v:stroke on="f" weight="1pt" miterlimit="8" joinstyle="miter"/>
                <v:imagedata o:title=""/>
                <o:lock v:ext="edit" aspectratio="f"/>
              </v:shape>
            </w:pict>
          </mc:Fallback>
        </mc:AlternateContent>
      </w:r>
      <w:r>
        <w:rPr>
          <w:rFonts w:hint="eastAsia" w:ascii="宋体" w:hAnsi="宋体" w:eastAsia="宋体" w:cs="宋体"/>
          <w:lang w:val="en-US" w:eastAsia="zh-CN"/>
        </w:rPr>
        <mc:AlternateContent>
          <mc:Choice Requires="wps">
            <w:drawing>
              <wp:anchor distT="0" distB="0" distL="114300" distR="114300" simplePos="0" relativeHeight="251669504" behindDoc="1" locked="0" layoutInCell="1" allowOverlap="1">
                <wp:simplePos x="0" y="0"/>
                <wp:positionH relativeFrom="page">
                  <wp:posOffset>1149350</wp:posOffset>
                </wp:positionH>
                <wp:positionV relativeFrom="paragraph">
                  <wp:posOffset>168910</wp:posOffset>
                </wp:positionV>
                <wp:extent cx="801370" cy="1322705"/>
                <wp:effectExtent l="0" t="0" r="17780" b="10795"/>
                <wp:wrapNone/>
                <wp:docPr id="299" name="Freeform 299"/>
                <wp:cNvGraphicFramePr/>
                <a:graphic xmlns:a="http://schemas.openxmlformats.org/drawingml/2006/main">
                  <a:graphicData uri="http://schemas.microsoft.com/office/word/2010/wordprocessingShape">
                    <wps:wsp>
                      <wps:cNvSpPr/>
                      <wps:spPr>
                        <a:xfrm>
                          <a:off x="0" y="0"/>
                          <a:ext cx="801624" cy="1322832"/>
                        </a:xfrm>
                        <a:custGeom>
                          <a:avLst/>
                          <a:gdLst/>
                          <a:ahLst/>
                          <a:cxnLst/>
                          <a:rect l="l" t="t" r="r" b="b"/>
                          <a:pathLst>
                            <a:path w="801624" h="1322832">
                              <a:moveTo>
                                <a:pt x="0" y="1322832"/>
                              </a:moveTo>
                              <a:lnTo>
                                <a:pt x="801624" y="1322832"/>
                              </a:lnTo>
                              <a:lnTo>
                                <a:pt x="801624" y="0"/>
                              </a:lnTo>
                              <a:lnTo>
                                <a:pt x="0" y="0"/>
                              </a:lnTo>
                              <a:lnTo>
                                <a:pt x="0" y="132283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99" o:spid="_x0000_s1026" o:spt="100" style="position:absolute;left:0pt;margin-left:90.5pt;margin-top:13.3pt;height:104.15pt;width:63.1pt;mso-position-horizontal-relative:page;z-index:-251646976;mso-width-relative:page;mso-height-relative:page;" fillcolor="#FFFFFF" filled="t" stroked="f" coordsize="801624,1322832" o:gfxdata="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o7rHK2gAAAAoBAAAPAAAAAAAAAAEAIAAAACIA&#10;AABkcnMvZG93bnJldi54bWxQSwECFAAUAAAACACHTuJAOCamIUACAAAnBQAADgAAAAAAAAABACAA&#10;AAApAQAAZHJzL2Uyb0RvYy54bWxQSwUGAAAAAAYABgBZAQAA2wUAAAAA&#10;" path="m0,1322832l801624,1322832,801624,0,0,0,0,1322832xe">
                <v:fill on="t" focussize="0,0"/>
                <v:stroke on="f" weight="1pt" miterlimit="8" joinstyle="miter"/>
                <v:imagedata o:title=""/>
                <o:lock v:ext="edit" aspectratio="f"/>
              </v:shape>
            </w:pict>
          </mc:Fallback>
        </mc:AlternateContent>
      </w:r>
      <w:r>
        <w:rPr>
          <w:rFonts w:hint="eastAsia" w:ascii="宋体" w:hAnsi="宋体" w:eastAsia="宋体" w:cs="宋体"/>
          <w:lang w:val="en-US" w:eastAsia="zh-CN"/>
        </w:rPr>
        <mc:AlternateContent>
          <mc:Choice Requires="wps">
            <w:drawing>
              <wp:anchor distT="0" distB="0" distL="114300" distR="114300" simplePos="0" relativeHeight="251673600" behindDoc="1" locked="0" layoutInCell="1" allowOverlap="1">
                <wp:simplePos x="0" y="0"/>
                <wp:positionH relativeFrom="page">
                  <wp:posOffset>1957070</wp:posOffset>
                </wp:positionH>
                <wp:positionV relativeFrom="paragraph">
                  <wp:posOffset>168910</wp:posOffset>
                </wp:positionV>
                <wp:extent cx="2698115" cy="67310"/>
                <wp:effectExtent l="0" t="0" r="6985" b="8890"/>
                <wp:wrapNone/>
                <wp:docPr id="300" name="Freeform 300"/>
                <wp:cNvGraphicFramePr/>
                <a:graphic xmlns:a="http://schemas.openxmlformats.org/drawingml/2006/main">
                  <a:graphicData uri="http://schemas.microsoft.com/office/word/2010/wordprocessingShape">
                    <wps:wsp>
                      <wps:cNvSpPr/>
                      <wps:spPr>
                        <a:xfrm>
                          <a:off x="0" y="0"/>
                          <a:ext cx="2698115" cy="67056"/>
                        </a:xfrm>
                        <a:custGeom>
                          <a:avLst/>
                          <a:gdLst/>
                          <a:ahLst/>
                          <a:cxnLst/>
                          <a:rect l="l" t="t" r="r" b="b"/>
                          <a:pathLst>
                            <a:path w="2698115" h="67056">
                              <a:moveTo>
                                <a:pt x="0" y="67056"/>
                              </a:moveTo>
                              <a:lnTo>
                                <a:pt x="2698115" y="67056"/>
                              </a:lnTo>
                              <a:lnTo>
                                <a:pt x="2698115" y="0"/>
                              </a:lnTo>
                              <a:lnTo>
                                <a:pt x="0" y="0"/>
                              </a:lnTo>
                              <a:lnTo>
                                <a:pt x="0" y="6705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00" o:spid="_x0000_s1026" o:spt="100" style="position:absolute;left:0pt;margin-left:154.1pt;margin-top:13.3pt;height:5.3pt;width:212.45pt;mso-position-horizontal-relative:page;z-index:-251642880;mso-width-relative:page;mso-height-relative:page;" fillcolor="#FFFFFF" filled="t" stroked="f" coordsize="2698115,67056" o:gfxdata="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v+1YY1wAAAAkBAAAPAAAAAAAAAAEAIAAAACIAAABkcnMv&#10;ZG93bnJldi54bWxQSwECFAAUAAAACACHTuJATSA5vj0CAAAhBQAADgAAAAAAAAABACAAAAAmAQAA&#10;ZHJzL2Uyb0RvYy54bWxQSwUGAAAAAAYABgBZAQAA1QUAAAAA&#10;" path="m0,67056l2698115,67056,2698115,0,0,0,0,67056xe">
                <v:fill on="t" focussize="0,0"/>
                <v:stroke on="f" weight="1pt" miterlimit="8" joinstyle="miter"/>
                <v:imagedata o:title=""/>
                <o:lock v:ext="edit" aspectratio="f"/>
              </v:shape>
            </w:pict>
          </mc:Fallback>
        </mc:AlternateContent>
      </w:r>
      <w:r>
        <w:rPr>
          <w:rFonts w:hint="eastAsia" w:ascii="宋体" w:hAnsi="宋体" w:eastAsia="宋体" w:cs="宋体"/>
          <w:lang w:val="en-US" w:eastAsia="zh-CN"/>
        </w:rPr>
        <mc:AlternateContent>
          <mc:Choice Requires="wps">
            <w:drawing>
              <wp:anchor distT="0" distB="0" distL="114300" distR="114300" simplePos="0" relativeHeight="251671552" behindDoc="1" locked="0" layoutInCell="1" allowOverlap="1">
                <wp:simplePos x="0" y="0"/>
                <wp:positionH relativeFrom="page">
                  <wp:posOffset>1957070</wp:posOffset>
                </wp:positionH>
                <wp:positionV relativeFrom="paragraph">
                  <wp:posOffset>168910</wp:posOffset>
                </wp:positionV>
                <wp:extent cx="2698115" cy="1322705"/>
                <wp:effectExtent l="0" t="0" r="6985" b="10795"/>
                <wp:wrapNone/>
                <wp:docPr id="301" name="Freeform 301"/>
                <wp:cNvGraphicFramePr/>
                <a:graphic xmlns:a="http://schemas.openxmlformats.org/drawingml/2006/main">
                  <a:graphicData uri="http://schemas.microsoft.com/office/word/2010/wordprocessingShape">
                    <wps:wsp>
                      <wps:cNvSpPr/>
                      <wps:spPr>
                        <a:xfrm>
                          <a:off x="0" y="0"/>
                          <a:ext cx="2698115" cy="1322832"/>
                        </a:xfrm>
                        <a:custGeom>
                          <a:avLst/>
                          <a:gdLst/>
                          <a:ahLst/>
                          <a:cxnLst/>
                          <a:rect l="l" t="t" r="r" b="b"/>
                          <a:pathLst>
                            <a:path w="2698115" h="1322832">
                              <a:moveTo>
                                <a:pt x="0" y="1322832"/>
                              </a:moveTo>
                              <a:lnTo>
                                <a:pt x="2698115" y="1322832"/>
                              </a:lnTo>
                              <a:lnTo>
                                <a:pt x="2698115" y="0"/>
                              </a:lnTo>
                              <a:lnTo>
                                <a:pt x="0" y="0"/>
                              </a:lnTo>
                              <a:lnTo>
                                <a:pt x="0" y="132283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01" o:spid="_x0000_s1026" o:spt="100" style="position:absolute;left:0pt;margin-left:154.1pt;margin-top:13.3pt;height:104.15pt;width:212.45pt;mso-position-horizontal-relative:page;z-index:-251644928;mso-width-relative:page;mso-height-relative:page;" fillcolor="#FFFFFF" filled="t" stroked="f" coordsize="2698115,1322832" o:gfxdata="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AvU7rYAAAACgEAAA8AAAAAAAAAAQAgAAAAIgAA&#10;AGRycy9kb3ducmV2LnhtbFBLAQIUABQAAAAIAIdO4kC9B5ZiQQIAACsFAAAOAAAAAAAAAAEAIAAA&#10;ACcBAABkcnMvZTJvRG9jLnhtbFBLBQYAAAAABgAGAFkBAADaBQAAAAA=&#10;" path="m0,1322832l2698115,1322832,2698115,0,0,0,0,1322832xe">
                <v:fill on="t" focussize="0,0"/>
                <v:stroke on="f" weight="1pt" miterlimit="8" joinstyle="miter"/>
                <v:imagedata o:title=""/>
                <o:lock v:ext="edit" aspectratio="f"/>
              </v:shape>
            </w:pict>
          </mc:Fallback>
        </mc:AlternateContent>
      </w:r>
      <w:r>
        <w:rPr>
          <w:rFonts w:hint="eastAsia" w:ascii="宋体" w:hAnsi="宋体" w:eastAsia="宋体" w:cs="宋体"/>
          <w:lang w:val="en-US" w:eastAsia="zh-CN"/>
        </w:rPr>
        <mc:AlternateContent>
          <mc:Choice Requires="wps">
            <w:drawing>
              <wp:anchor distT="0" distB="0" distL="114300" distR="114300" simplePos="0" relativeHeight="251674624" behindDoc="1" locked="0" layoutInCell="1" allowOverlap="1">
                <wp:simplePos x="0" y="0"/>
                <wp:positionH relativeFrom="page">
                  <wp:posOffset>4660900</wp:posOffset>
                </wp:positionH>
                <wp:positionV relativeFrom="paragraph">
                  <wp:posOffset>168910</wp:posOffset>
                </wp:positionV>
                <wp:extent cx="1751330" cy="67310"/>
                <wp:effectExtent l="0" t="0" r="1270" b="8890"/>
                <wp:wrapNone/>
                <wp:docPr id="302" name="Freeform 302"/>
                <wp:cNvGraphicFramePr/>
                <a:graphic xmlns:a="http://schemas.openxmlformats.org/drawingml/2006/main">
                  <a:graphicData uri="http://schemas.microsoft.com/office/word/2010/wordprocessingShape">
                    <wps:wsp>
                      <wps:cNvSpPr/>
                      <wps:spPr>
                        <a:xfrm>
                          <a:off x="0" y="0"/>
                          <a:ext cx="1751330" cy="67056"/>
                        </a:xfrm>
                        <a:custGeom>
                          <a:avLst/>
                          <a:gdLst/>
                          <a:ahLst/>
                          <a:cxnLst/>
                          <a:rect l="l" t="t" r="r" b="b"/>
                          <a:pathLst>
                            <a:path w="1751330" h="67056">
                              <a:moveTo>
                                <a:pt x="0" y="67056"/>
                              </a:moveTo>
                              <a:lnTo>
                                <a:pt x="1751330" y="67056"/>
                              </a:lnTo>
                              <a:lnTo>
                                <a:pt x="1751330" y="0"/>
                              </a:lnTo>
                              <a:lnTo>
                                <a:pt x="0" y="0"/>
                              </a:lnTo>
                              <a:lnTo>
                                <a:pt x="0" y="6705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02" o:spid="_x0000_s1026" o:spt="100" style="position:absolute;left:0pt;margin-left:367pt;margin-top:13.3pt;height:5.3pt;width:137.9pt;mso-position-horizontal-relative:page;z-index:-251641856;mso-width-relative:page;mso-height-relative:page;" fillcolor="#FFFFFF" filled="t" stroked="f" coordsize="1751330,67056" o:gfxdata="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l6x6jcAAAACgEAAA8AAAAAAAAAAQAgAAAAIgAA&#10;AGRycy9kb3ducmV2LnhtbFBLAQIUABQAAAAIAIdO4kD7+2idPQIAACEFAAAOAAAAAAAAAAEAIAAA&#10;ACsBAABkcnMvZTJvRG9jLnhtbFBLBQYAAAAABgAGAFkBAADaBQAAAAA=&#10;" path="m0,67056l1751330,67056,1751330,0,0,0,0,67056xe">
                <v:fill on="t" focussize="0,0"/>
                <v:stroke on="f" weight="1pt" miterlimit="8" joinstyle="miter"/>
                <v:imagedata o:title=""/>
                <o:lock v:ext="edit" aspectratio="f"/>
              </v:shape>
            </w:pict>
          </mc:Fallback>
        </mc:AlternateContent>
      </w:r>
      <w:r>
        <w:rPr>
          <w:rFonts w:hint="eastAsia" w:ascii="宋体" w:hAnsi="宋体" w:eastAsia="宋体" w:cs="宋体"/>
          <w:lang w:val="en-US" w:eastAsia="zh-CN"/>
        </w:rPr>
        <mc:AlternateContent>
          <mc:Choice Requires="wps">
            <w:drawing>
              <wp:anchor distT="0" distB="0" distL="114300" distR="114300" simplePos="0" relativeHeight="251672576" behindDoc="1" locked="0" layoutInCell="1" allowOverlap="1">
                <wp:simplePos x="0" y="0"/>
                <wp:positionH relativeFrom="page">
                  <wp:posOffset>4660900</wp:posOffset>
                </wp:positionH>
                <wp:positionV relativeFrom="paragraph">
                  <wp:posOffset>168910</wp:posOffset>
                </wp:positionV>
                <wp:extent cx="1751330" cy="1322705"/>
                <wp:effectExtent l="0" t="0" r="1270" b="10795"/>
                <wp:wrapNone/>
                <wp:docPr id="303" name="Freeform 303"/>
                <wp:cNvGraphicFramePr/>
                <a:graphic xmlns:a="http://schemas.openxmlformats.org/drawingml/2006/main">
                  <a:graphicData uri="http://schemas.microsoft.com/office/word/2010/wordprocessingShape">
                    <wps:wsp>
                      <wps:cNvSpPr/>
                      <wps:spPr>
                        <a:xfrm>
                          <a:off x="0" y="0"/>
                          <a:ext cx="1751330" cy="1322832"/>
                        </a:xfrm>
                        <a:custGeom>
                          <a:avLst/>
                          <a:gdLst/>
                          <a:ahLst/>
                          <a:cxnLst/>
                          <a:rect l="l" t="t" r="r" b="b"/>
                          <a:pathLst>
                            <a:path w="1751330" h="1322832">
                              <a:moveTo>
                                <a:pt x="0" y="1322832"/>
                              </a:moveTo>
                              <a:lnTo>
                                <a:pt x="1751330" y="1322832"/>
                              </a:lnTo>
                              <a:lnTo>
                                <a:pt x="1751330" y="0"/>
                              </a:lnTo>
                              <a:lnTo>
                                <a:pt x="0" y="0"/>
                              </a:lnTo>
                              <a:lnTo>
                                <a:pt x="0" y="132283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03" o:spid="_x0000_s1026" o:spt="100" style="position:absolute;left:0pt;margin-left:367pt;margin-top:13.3pt;height:104.15pt;width:137.9pt;mso-position-horizontal-relative:page;z-index:-251643904;mso-width-relative:page;mso-height-relative:page;" fillcolor="#FFFFFF" filled="t" stroked="f" coordsize="1751330,1322832" o:gfxdata="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KcoljdAAAACwEAAA8AAAAAAAAAAQAgAAAA&#10;IgAAAGRycy9kb3ducmV2LnhtbFBLAQIUABQAAAAIAIdO4kBFt6PQPwIAACsFAAAOAAAAAAAAAAEA&#10;IAAAACwBAABkcnMvZTJvRG9jLnhtbFBLBQYAAAAABgAGAFkBAADdBQAAAAA=&#10;" path="m0,1322832l1751330,1322832,1751330,0,0,0,0,1322832xe">
                <v:fill on="t" focussize="0,0"/>
                <v:stroke on="f" weight="1pt" miterlimit="8" joinstyle="miter"/>
                <v:imagedata o:title=""/>
                <o:lock v:ext="edit" aspectratio="f"/>
              </v:shape>
            </w:pict>
          </mc:Fallback>
        </mc:AlternateContent>
      </w:r>
    </w:p>
    <w:tbl>
      <w:tblPr>
        <w:tblStyle w:val="20"/>
        <w:tblpPr w:vertAnchor="text" w:horzAnchor="page" w:tblpX="1395" w:tblpY="132"/>
        <w:tblOverlap w:val="never"/>
        <w:tblW w:w="90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01"/>
        <w:gridCol w:w="4249"/>
        <w:gridCol w:w="3446"/>
      </w:tblGrid>
      <w:tr w14:paraId="2D346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401" w:type="dxa"/>
          </w:tcPr>
          <w:p w14:paraId="18D85E6B">
            <w:pPr>
              <w:numPr>
                <w:ilvl w:val="0"/>
                <w:numId w:val="0"/>
              </w:numPr>
              <w:ind w:leftChars="0"/>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价格选项</w:t>
            </w:r>
          </w:p>
        </w:tc>
        <w:tc>
          <w:tcPr>
            <w:tcW w:w="4249" w:type="dxa"/>
          </w:tcPr>
          <w:p w14:paraId="6EB5BE05">
            <w:pPr>
              <w:numPr>
                <w:ilvl w:val="0"/>
                <w:numId w:val="0"/>
              </w:numPr>
              <w:ind w:leftChars="0"/>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取值说明</w:t>
            </w:r>
          </w:p>
        </w:tc>
        <w:tc>
          <w:tcPr>
            <w:tcW w:w="3446" w:type="dxa"/>
          </w:tcPr>
          <w:p w14:paraId="43124177">
            <w:pPr>
              <w:numPr>
                <w:ilvl w:val="0"/>
                <w:numId w:val="0"/>
              </w:numPr>
              <w:ind w:leftChars="0"/>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浮动说明</w:t>
            </w:r>
          </w:p>
        </w:tc>
      </w:tr>
      <w:tr w14:paraId="772F5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7" w:hRule="atLeast"/>
        </w:trPr>
        <w:tc>
          <w:tcPr>
            <w:tcW w:w="1401" w:type="dxa"/>
            <w:vAlign w:val="center"/>
          </w:tcPr>
          <w:p w14:paraId="446CCE8F">
            <w:pPr>
              <w:numPr>
                <w:ilvl w:val="0"/>
                <w:numId w:val="0"/>
              </w:numPr>
              <w:ind w:left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指定价</w:t>
            </w:r>
          </w:p>
        </w:tc>
        <w:tc>
          <w:tcPr>
            <w:tcW w:w="4249" w:type="dxa"/>
            <w:vAlign w:val="center"/>
          </w:tcPr>
          <w:p w14:paraId="7CE9CD3A">
            <w:pPr>
              <w:numPr>
                <w:ilvl w:val="0"/>
                <w:numId w:val="0"/>
              </w:numPr>
              <w:ind w:leftChars="0"/>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成分券列表中"指定价"，即用户自定义价格</w:t>
            </w:r>
          </w:p>
        </w:tc>
        <w:tc>
          <w:tcPr>
            <w:tcW w:w="3446" w:type="dxa"/>
          </w:tcPr>
          <w:p w14:paraId="08DC86A0">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允许上下浮动，有涨跌停价的标的浮动上下限为涨跌停价，超过上/下限的分别按涨/跌停价报单；</w:t>
            </w:r>
          </w:p>
          <w:p w14:paraId="5993C2AF">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无涨跌停限制的不设限，按用户设置的值下单  </w:t>
            </w:r>
          </w:p>
        </w:tc>
      </w:tr>
      <w:tr w14:paraId="7E135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3" w:hRule="atLeast"/>
        </w:trPr>
        <w:tc>
          <w:tcPr>
            <w:tcW w:w="1401" w:type="dxa"/>
            <w:vAlign w:val="center"/>
          </w:tcPr>
          <w:p w14:paraId="4388D7D8">
            <w:pPr>
              <w:numPr>
                <w:ilvl w:val="0"/>
                <w:numId w:val="0"/>
              </w:numPr>
              <w:ind w:left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自动盘口</w:t>
            </w:r>
          </w:p>
        </w:tc>
        <w:tc>
          <w:tcPr>
            <w:tcW w:w="4249" w:type="dxa"/>
            <w:vAlign w:val="center"/>
          </w:tcPr>
          <w:p w14:paraId="70613443">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是指根据当前的委托数量、买卖方向以及5档行情买卖盘的价格和数量，自动计算出的委托价格，使得按当前盘口情况可以完全成交。如果当前5档的盘口总量小于委托数量时，则取第5档价格</w:t>
            </w:r>
          </w:p>
        </w:tc>
        <w:tc>
          <w:tcPr>
            <w:tcW w:w="3446" w:type="dxa"/>
          </w:tcPr>
          <w:p w14:paraId="481638F0">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允许上下浮动，有涨跌停 价的标的浮动上下限为涨 跌停价，超过上/下限的分别按涨/跌停价报单；</w:t>
            </w:r>
          </w:p>
          <w:p w14:paraId="2F85465D">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无涨跌停限制的不设限，按用 户设置的值下单  </w:t>
            </w:r>
          </w:p>
        </w:tc>
      </w:tr>
      <w:tr w14:paraId="209F1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7" w:hRule="atLeast"/>
        </w:trPr>
        <w:tc>
          <w:tcPr>
            <w:tcW w:w="1401" w:type="dxa"/>
            <w:vAlign w:val="center"/>
          </w:tcPr>
          <w:p w14:paraId="232E5D7D">
            <w:pPr>
              <w:numPr>
                <w:ilvl w:val="0"/>
                <w:numId w:val="0"/>
              </w:numPr>
              <w:ind w:left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最新价</w:t>
            </w:r>
          </w:p>
        </w:tc>
        <w:tc>
          <w:tcPr>
            <w:tcW w:w="4249" w:type="dxa"/>
            <w:vAlign w:val="center"/>
          </w:tcPr>
          <w:p w14:paraId="6FC393EF">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行情中的最新价，取不到最新价，按“今</w:t>
            </w:r>
          </w:p>
          <w:p w14:paraId="4C54B6A4">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收盘价—开盘价—昨收价”顺序取值</w:t>
            </w:r>
          </w:p>
        </w:tc>
        <w:tc>
          <w:tcPr>
            <w:tcW w:w="3446" w:type="dxa"/>
          </w:tcPr>
          <w:p w14:paraId="0FC29375">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允许上下浮动，有涨跌停价的标的浮动上下限为涨跌停价，超过上/下限的分别按涨/跌停价报单；</w:t>
            </w:r>
          </w:p>
          <w:p w14:paraId="60EDEE38">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无涨跌停限制的不设限，按用户设置的值下单 </w:t>
            </w:r>
          </w:p>
        </w:tc>
      </w:tr>
      <w:tr w14:paraId="6BF8E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trPr>
        <w:tc>
          <w:tcPr>
            <w:tcW w:w="1401" w:type="dxa"/>
            <w:vAlign w:val="center"/>
          </w:tcPr>
          <w:p w14:paraId="395D632D">
            <w:pPr>
              <w:numPr>
                <w:ilvl w:val="0"/>
                <w:numId w:val="0"/>
              </w:numPr>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对手价</w:t>
            </w:r>
          </w:p>
        </w:tc>
        <w:tc>
          <w:tcPr>
            <w:tcW w:w="4249" w:type="dxa"/>
            <w:vAlign w:val="center"/>
          </w:tcPr>
          <w:p w14:paraId="06C5C350">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买方向取卖一价、卖方向取买一价，取不</w:t>
            </w:r>
          </w:p>
          <w:p w14:paraId="669A9A08">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到对手价，按“最新价—今收盘价—开盘</w:t>
            </w:r>
          </w:p>
          <w:p w14:paraId="1E859058">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价—昨收价”顺序取值</w:t>
            </w:r>
          </w:p>
        </w:tc>
        <w:tc>
          <w:tcPr>
            <w:tcW w:w="3446" w:type="dxa"/>
            <w:vAlign w:val="top"/>
          </w:tcPr>
          <w:p w14:paraId="4019FC5A">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允许上下浮动，有涨跌停 价的标的浮动上下限为涨 跌停价，超过上/下限的分别按涨/跌停价报单；无涨跌停限制的不设限，按用户设置的值下单</w:t>
            </w:r>
          </w:p>
        </w:tc>
      </w:tr>
      <w:tr w14:paraId="18F76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7" w:hRule="atLeast"/>
        </w:trPr>
        <w:tc>
          <w:tcPr>
            <w:tcW w:w="1401" w:type="dxa"/>
            <w:vAlign w:val="center"/>
          </w:tcPr>
          <w:p w14:paraId="34B52BEE">
            <w:pPr>
              <w:numPr>
                <w:ilvl w:val="0"/>
                <w:numId w:val="0"/>
              </w:numPr>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涨停价</w:t>
            </w:r>
          </w:p>
        </w:tc>
        <w:tc>
          <w:tcPr>
            <w:tcW w:w="4249" w:type="dxa"/>
            <w:vAlign w:val="center"/>
          </w:tcPr>
          <w:p w14:paraId="3E03C038">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行情中的涨停价，取不到涨停价的按“卖</w:t>
            </w:r>
          </w:p>
          <w:p w14:paraId="50E90211">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五价—卖四价—卖三价—卖二价—卖一价</w:t>
            </w:r>
          </w:p>
          <w:p w14:paraId="3E08BACC">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—最新价—今收盘价—开盘价—昨收价”</w:t>
            </w:r>
          </w:p>
          <w:p w14:paraId="4A5DBF5D">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顺序取值</w:t>
            </w:r>
          </w:p>
        </w:tc>
        <w:tc>
          <w:tcPr>
            <w:tcW w:w="3446" w:type="dxa"/>
            <w:vAlign w:val="top"/>
          </w:tcPr>
          <w:p w14:paraId="2610A863">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仅允许向下浮动，浮动下 限为跌停价，低于下限的 按跌停价报单；无涨跌停 限制的不设限，按用户设 置的值下单</w:t>
            </w:r>
          </w:p>
        </w:tc>
      </w:tr>
      <w:tr w14:paraId="10322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7" w:hRule="atLeast"/>
        </w:trPr>
        <w:tc>
          <w:tcPr>
            <w:tcW w:w="1401" w:type="dxa"/>
            <w:vAlign w:val="center"/>
          </w:tcPr>
          <w:p w14:paraId="43026F22">
            <w:pPr>
              <w:numPr>
                <w:ilvl w:val="0"/>
                <w:numId w:val="0"/>
              </w:numPr>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卖/买*价 (*可以是 五到一)</w:t>
            </w:r>
          </w:p>
        </w:tc>
        <w:tc>
          <w:tcPr>
            <w:tcW w:w="4249" w:type="dxa"/>
            <w:vAlign w:val="center"/>
          </w:tcPr>
          <w:p w14:paraId="79C92399">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行情中的买/卖*价，取不到买/卖*价的按 “买/卖*价……（逐级递减）—买/卖一价 —最新价—今收盘价—开盘价—昨收价” 顺序取值</w:t>
            </w:r>
          </w:p>
        </w:tc>
        <w:tc>
          <w:tcPr>
            <w:tcW w:w="3446" w:type="dxa"/>
            <w:vAlign w:val="top"/>
          </w:tcPr>
          <w:p w14:paraId="74739137">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允许上下浮动，有涨跌停 价的标的浮动上下限为涨 跌停价，超过上/下限的分 </w:t>
            </w:r>
          </w:p>
          <w:p w14:paraId="1BF854ED">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别按涨/跌停价报单；无涨 跌停限制的不设限，按用 户设置的值下单  </w:t>
            </w:r>
          </w:p>
        </w:tc>
      </w:tr>
      <w:tr w14:paraId="45325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7" w:hRule="atLeast"/>
        </w:trPr>
        <w:tc>
          <w:tcPr>
            <w:tcW w:w="1401" w:type="dxa"/>
            <w:vAlign w:val="center"/>
          </w:tcPr>
          <w:p w14:paraId="73500EF9">
            <w:pPr>
              <w:numPr>
                <w:ilvl w:val="0"/>
                <w:numId w:val="0"/>
              </w:numPr>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跌停价</w:t>
            </w:r>
          </w:p>
        </w:tc>
        <w:tc>
          <w:tcPr>
            <w:tcW w:w="4249" w:type="dxa"/>
            <w:vAlign w:val="center"/>
          </w:tcPr>
          <w:p w14:paraId="40C1F727">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行情中的跌停价，取不到跌停价的按“买</w:t>
            </w:r>
          </w:p>
          <w:p w14:paraId="6637995B">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五价—买四价—买三价—买二价—买一价</w:t>
            </w:r>
          </w:p>
          <w:p w14:paraId="61FE85C2">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—最新价—今收盘价—开盘价—昨收价”</w:t>
            </w:r>
          </w:p>
          <w:p w14:paraId="3F9C91F0">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顺序取值</w:t>
            </w:r>
          </w:p>
        </w:tc>
        <w:tc>
          <w:tcPr>
            <w:tcW w:w="3446" w:type="dxa"/>
            <w:vAlign w:val="top"/>
          </w:tcPr>
          <w:p w14:paraId="2908A101">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仅允许向上浮动，浮动上 限为涨停价，高于上限的 按涨停价报单；无涨跌停 限制的不设限，按用户设 置的值下单  </w:t>
            </w:r>
          </w:p>
        </w:tc>
      </w:tr>
    </w:tbl>
    <w:p w14:paraId="33B40644">
      <w:pPr>
        <w:numPr>
          <w:ilvl w:val="0"/>
          <w:numId w:val="0"/>
        </w:numPr>
        <w:ind w:leftChars="0"/>
        <w:jc w:val="left"/>
        <w:rPr>
          <w:rFonts w:hint="eastAsia" w:ascii="宋体" w:hAnsi="宋体" w:eastAsia="宋体" w:cs="宋体"/>
          <w:color w:val="000000"/>
          <w:sz w:val="21"/>
          <w:szCs w:val="21"/>
          <w:lang w:val="en-US" w:eastAsia="zh-CN"/>
        </w:rPr>
      </w:pPr>
    </w:p>
    <w:p w14:paraId="0F85AF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mc:AlternateContent>
          <mc:Choice Requires="wps">
            <w:drawing>
              <wp:anchor distT="0" distB="0" distL="114300" distR="114300" simplePos="0" relativeHeight="251670528" behindDoc="1" locked="0" layoutInCell="1" allowOverlap="1">
                <wp:simplePos x="0" y="0"/>
                <wp:positionH relativeFrom="page">
                  <wp:posOffset>1242060</wp:posOffset>
                </wp:positionH>
                <wp:positionV relativeFrom="paragraph">
                  <wp:posOffset>60960</wp:posOffset>
                </wp:positionV>
                <wp:extent cx="615950" cy="198120"/>
                <wp:effectExtent l="0" t="0" r="12700" b="11430"/>
                <wp:wrapNone/>
                <wp:docPr id="304" name="Freeform 304"/>
                <wp:cNvGraphicFramePr/>
                <a:graphic xmlns:a="http://schemas.openxmlformats.org/drawingml/2006/main">
                  <a:graphicData uri="http://schemas.microsoft.com/office/word/2010/wordprocessingShape">
                    <wps:wsp>
                      <wps:cNvSpPr/>
                      <wps:spPr>
                        <a:xfrm>
                          <a:off x="0" y="0"/>
                          <a:ext cx="615696" cy="198120"/>
                        </a:xfrm>
                        <a:custGeom>
                          <a:avLst/>
                          <a:gdLst/>
                          <a:ahLst/>
                          <a:cxnLst/>
                          <a:rect l="l" t="t" r="r" b="b"/>
                          <a:pathLst>
                            <a:path w="615696" h="198120">
                              <a:moveTo>
                                <a:pt x="0" y="198120"/>
                              </a:moveTo>
                              <a:lnTo>
                                <a:pt x="615696" y="198120"/>
                              </a:lnTo>
                              <a:lnTo>
                                <a:pt x="615696" y="0"/>
                              </a:lnTo>
                              <a:lnTo>
                                <a:pt x="0" y="0"/>
                              </a:lnTo>
                              <a:lnTo>
                                <a:pt x="0" y="198120"/>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04" o:spid="_x0000_s1026" o:spt="100" style="position:absolute;left:0pt;margin-left:97.8pt;margin-top:4.8pt;height:15.6pt;width:48.5pt;mso-position-horizontal-relative:page;z-index:-251645952;mso-width-relative:page;mso-height-relative:page;" fillcolor="#FFFFFF" filled="t" stroked="f" coordsize="615696,198120" o:gfxdata="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r3cw9MAAAAIAQAADwAAAAAAAAABACAAAAAiAAAAZHJz&#10;L2Rvd25yZXYueG1sUEsBAhQAFAAAAAgAh07iQG7hORpCAgAAIgUAAA4AAAAAAAAAAQAgAAAAIgEA&#10;AGRycy9lMm9Eb2MueG1sUEsFBgAAAAAGAAYAWQEAANYFAAAAAA==&#10;" path="m0,198120l615696,198120,615696,0,0,0,0,198120xe">
                <v:fill on="t" focussize="0,0"/>
                <v:stroke on="f" weight="1pt" miterlimit="8" joinstyle="miter"/>
                <v:imagedata o:title=""/>
                <o:lock v:ext="edit" aspectratio="f"/>
              </v:shape>
            </w:pict>
          </mc:Fallback>
        </mc:AlternateContent>
      </w:r>
      <w:r>
        <w:rPr>
          <w:rFonts w:hint="eastAsia" w:ascii="宋体" w:hAnsi="宋体" w:eastAsia="宋体" w:cs="宋体"/>
          <w:lang w:val="en-US" w:eastAsia="zh-CN"/>
        </w:rPr>
        <w:t>（2）市价模式</w:t>
      </w:r>
    </w:p>
    <w:p w14:paraId="340879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市价模式下，需分别选择上海和深圳两个市场的市价类型，下单时组合中所属市场为上海的 成分股按上海市价类型报单，所属市场为深圳的成分股按深圳市价报单。操作如图所示： </w:t>
      </w:r>
    </w:p>
    <w:p w14:paraId="23FC7A2E">
      <w:pPr>
        <w:numPr>
          <w:ilvl w:val="0"/>
          <w:numId w:val="0"/>
        </w:numPr>
        <w:ind w:leftChars="0"/>
        <w:jc w:val="center"/>
        <w:rPr>
          <w:rFonts w:hint="eastAsia" w:ascii="宋体" w:hAnsi="宋体" w:eastAsia="宋体" w:cs="宋体"/>
        </w:rPr>
      </w:pPr>
      <w:r>
        <w:rPr>
          <w:rFonts w:hint="eastAsia" w:ascii="宋体" w:hAnsi="宋体" w:eastAsia="宋体" w:cs="宋体"/>
        </w:rPr>
        <w:drawing>
          <wp:inline distT="0" distB="0" distL="114300" distR="114300">
            <wp:extent cx="2381250" cy="4552950"/>
            <wp:effectExtent l="0" t="0" r="0" b="0"/>
            <wp:docPr id="18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55"/>
                    <pic:cNvPicPr>
                      <a:picLocks noChangeAspect="1"/>
                    </pic:cNvPicPr>
                  </pic:nvPicPr>
                  <pic:blipFill>
                    <a:blip r:embed="rId69"/>
                    <a:stretch>
                      <a:fillRect/>
                    </a:stretch>
                  </pic:blipFill>
                  <pic:spPr>
                    <a:xfrm>
                      <a:off x="0" y="0"/>
                      <a:ext cx="2381250" cy="4552950"/>
                    </a:xfrm>
                    <a:prstGeom prst="rect">
                      <a:avLst/>
                    </a:prstGeom>
                    <a:noFill/>
                    <a:ln>
                      <a:noFill/>
                    </a:ln>
                  </pic:spPr>
                </pic:pic>
              </a:graphicData>
            </a:graphic>
          </wp:inline>
        </w:drawing>
      </w:r>
    </w:p>
    <w:p w14:paraId="0320E1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mc:AlternateContent>
          <mc:Choice Requires="wps">
            <w:drawing>
              <wp:anchor distT="0" distB="0" distL="114300" distR="114300" simplePos="0" relativeHeight="251675648" behindDoc="1" locked="0" layoutInCell="1" allowOverlap="1">
                <wp:simplePos x="0" y="0"/>
                <wp:positionH relativeFrom="page">
                  <wp:posOffset>1146175</wp:posOffset>
                </wp:positionH>
                <wp:positionV relativeFrom="paragraph">
                  <wp:posOffset>20955</wp:posOffset>
                </wp:positionV>
                <wp:extent cx="807720" cy="67310"/>
                <wp:effectExtent l="0" t="0" r="11430" b="8890"/>
                <wp:wrapNone/>
                <wp:docPr id="313" name="Freeform 313"/>
                <wp:cNvGraphicFramePr/>
                <a:graphic xmlns:a="http://schemas.openxmlformats.org/drawingml/2006/main">
                  <a:graphicData uri="http://schemas.microsoft.com/office/word/2010/wordprocessingShape">
                    <wps:wsp>
                      <wps:cNvSpPr/>
                      <wps:spPr>
                        <a:xfrm>
                          <a:off x="0" y="0"/>
                          <a:ext cx="807720" cy="67056"/>
                        </a:xfrm>
                        <a:custGeom>
                          <a:avLst/>
                          <a:gdLst/>
                          <a:ahLst/>
                          <a:cxnLst/>
                          <a:rect l="l" t="t" r="r" b="b"/>
                          <a:pathLst>
                            <a:path w="807720" h="67056">
                              <a:moveTo>
                                <a:pt x="0" y="67056"/>
                              </a:moveTo>
                              <a:lnTo>
                                <a:pt x="807720" y="67056"/>
                              </a:lnTo>
                              <a:lnTo>
                                <a:pt x="807720" y="0"/>
                              </a:lnTo>
                              <a:lnTo>
                                <a:pt x="0" y="0"/>
                              </a:lnTo>
                              <a:lnTo>
                                <a:pt x="0" y="6705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13" o:spid="_x0000_s1026" o:spt="100" style="position:absolute;left:0pt;margin-left:90.25pt;margin-top:1.65pt;height:5.3pt;width:63.6pt;mso-position-horizontal-relative:page;z-index:-251640832;mso-width-relative:page;mso-height-relative:page;" fillcolor="#FFFFFF" filled="t" stroked="f" coordsize="807720,67056" o:gfxdata="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yNI7t2AAAAAgBAAAPAAAAAAAAAAEAIAAAACIAAABkcnMv&#10;ZG93bnJldi54bWxQSwECFAAUAAAACACHTuJAngTt8DwCAAAdBQAADgAAAAAAAAABACAAAAAnAQAA&#10;ZHJzL2Uyb0RvYy54bWxQSwUGAAAAAAYABgBZAQAA1QUAAAAA&#10;" path="m0,67056l807720,67056,807720,0,0,0,0,6705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76672" behindDoc="1" locked="0" layoutInCell="1" allowOverlap="1">
                <wp:simplePos x="0" y="0"/>
                <wp:positionH relativeFrom="page">
                  <wp:posOffset>1149350</wp:posOffset>
                </wp:positionH>
                <wp:positionV relativeFrom="paragraph">
                  <wp:posOffset>93980</wp:posOffset>
                </wp:positionV>
                <wp:extent cx="801370" cy="67310"/>
                <wp:effectExtent l="0" t="0" r="17780" b="8890"/>
                <wp:wrapNone/>
                <wp:docPr id="316" name="Freeform 316"/>
                <wp:cNvGraphicFramePr/>
                <a:graphic xmlns:a="http://schemas.openxmlformats.org/drawingml/2006/main">
                  <a:graphicData uri="http://schemas.microsoft.com/office/word/2010/wordprocessingShape">
                    <wps:wsp>
                      <wps:cNvSpPr/>
                      <wps:spPr>
                        <a:xfrm>
                          <a:off x="0" y="0"/>
                          <a:ext cx="801624" cy="67056"/>
                        </a:xfrm>
                        <a:custGeom>
                          <a:avLst/>
                          <a:gdLst/>
                          <a:ahLst/>
                          <a:cxnLst/>
                          <a:rect l="l" t="t" r="r" b="b"/>
                          <a:pathLst>
                            <a:path w="801624" h="67056">
                              <a:moveTo>
                                <a:pt x="0" y="67056"/>
                              </a:moveTo>
                              <a:lnTo>
                                <a:pt x="801624" y="67056"/>
                              </a:lnTo>
                              <a:lnTo>
                                <a:pt x="801624" y="0"/>
                              </a:lnTo>
                              <a:lnTo>
                                <a:pt x="0" y="0"/>
                              </a:lnTo>
                              <a:lnTo>
                                <a:pt x="0" y="6705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16" o:spid="_x0000_s1026" o:spt="100" style="position:absolute;left:0pt;margin-left:90.5pt;margin-top:7.4pt;height:5.3pt;width:63.1pt;mso-position-horizontal-relative:page;z-index:-251639808;mso-width-relative:page;mso-height-relative:page;" fillcolor="#FFFFFF" filled="t" stroked="f" coordsize="801624,67056" o:gfxdata="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DlvK/YAAAACQEAAA8AAAAAAAAAAQAgAAAAIgAAAGRy&#10;cy9kb3ducmV2LnhtbFBLAQIUABQAAAAIAIdO4kBwdO/zPgIAAB0FAAAOAAAAAAAAAAEAIAAAACcB&#10;AABkcnMvZTJvRG9jLnhtbFBLBQYAAAAABgAGAFkBAADXBQAAAAA=&#10;" path="m0,67056l801624,67056,801624,0,0,0,0,6705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77696" behindDoc="1" locked="0" layoutInCell="1" allowOverlap="1">
                <wp:simplePos x="0" y="0"/>
                <wp:positionH relativeFrom="page">
                  <wp:posOffset>1146175</wp:posOffset>
                </wp:positionH>
                <wp:positionV relativeFrom="paragraph">
                  <wp:posOffset>123825</wp:posOffset>
                </wp:positionV>
                <wp:extent cx="807720" cy="67310"/>
                <wp:effectExtent l="0" t="0" r="11430" b="8890"/>
                <wp:wrapNone/>
                <wp:docPr id="334" name="Freeform 334"/>
                <wp:cNvGraphicFramePr/>
                <a:graphic xmlns:a="http://schemas.openxmlformats.org/drawingml/2006/main">
                  <a:graphicData uri="http://schemas.microsoft.com/office/word/2010/wordprocessingShape">
                    <wps:wsp>
                      <wps:cNvSpPr/>
                      <wps:spPr>
                        <a:xfrm>
                          <a:off x="0" y="0"/>
                          <a:ext cx="807720" cy="67056"/>
                        </a:xfrm>
                        <a:custGeom>
                          <a:avLst/>
                          <a:gdLst/>
                          <a:ahLst/>
                          <a:cxnLst/>
                          <a:rect l="l" t="t" r="r" b="b"/>
                          <a:pathLst>
                            <a:path w="807720" h="67056">
                              <a:moveTo>
                                <a:pt x="0" y="67056"/>
                              </a:moveTo>
                              <a:lnTo>
                                <a:pt x="807720" y="67056"/>
                              </a:lnTo>
                              <a:lnTo>
                                <a:pt x="807720" y="0"/>
                              </a:lnTo>
                              <a:lnTo>
                                <a:pt x="0" y="0"/>
                              </a:lnTo>
                              <a:lnTo>
                                <a:pt x="0" y="6705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34" o:spid="_x0000_s1026" o:spt="100" style="position:absolute;left:0pt;margin-left:90.25pt;margin-top:9.75pt;height:5.3pt;width:63.6pt;mso-position-horizontal-relative:page;z-index:-251638784;mso-width-relative:page;mso-height-relative:page;" fillcolor="#FFFFFF" filled="t" stroked="f" coordsize="807720,67056" o:gfxdata="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aXxU9gAAAAJAQAADwAAAAAAAAABACAAAAAiAAAAZHJz&#10;L2Rvd25yZXYueG1sUEsBAhQAFAAAAAgAh07iQMlocMg9AgAAHQUAAA4AAAAAAAAAAQAgAAAAJwEA&#10;AGRycy9lMm9Eb2MueG1sUEsFBgAAAAAGAAYAWQEAANYFAAAAAA==&#10;" path="m0,67056l807720,67056,807720,0,0,0,0,6705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78720" behindDoc="1" locked="0" layoutInCell="1" allowOverlap="1">
                <wp:simplePos x="0" y="0"/>
                <wp:positionH relativeFrom="page">
                  <wp:posOffset>1149350</wp:posOffset>
                </wp:positionH>
                <wp:positionV relativeFrom="paragraph">
                  <wp:posOffset>21590</wp:posOffset>
                </wp:positionV>
                <wp:extent cx="801370" cy="67310"/>
                <wp:effectExtent l="0" t="0" r="17780" b="8890"/>
                <wp:wrapNone/>
                <wp:docPr id="337" name="Freeform 337"/>
                <wp:cNvGraphicFramePr/>
                <a:graphic xmlns:a="http://schemas.openxmlformats.org/drawingml/2006/main">
                  <a:graphicData uri="http://schemas.microsoft.com/office/word/2010/wordprocessingShape">
                    <wps:wsp>
                      <wps:cNvSpPr/>
                      <wps:spPr>
                        <a:xfrm>
                          <a:off x="0" y="0"/>
                          <a:ext cx="801624" cy="67056"/>
                        </a:xfrm>
                        <a:custGeom>
                          <a:avLst/>
                          <a:gdLst/>
                          <a:ahLst/>
                          <a:cxnLst/>
                          <a:rect l="l" t="t" r="r" b="b"/>
                          <a:pathLst>
                            <a:path w="801624" h="67056">
                              <a:moveTo>
                                <a:pt x="0" y="67056"/>
                              </a:moveTo>
                              <a:lnTo>
                                <a:pt x="801624" y="67056"/>
                              </a:lnTo>
                              <a:lnTo>
                                <a:pt x="801624" y="0"/>
                              </a:lnTo>
                              <a:lnTo>
                                <a:pt x="0" y="0"/>
                              </a:lnTo>
                              <a:lnTo>
                                <a:pt x="0" y="6705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37" o:spid="_x0000_s1026" o:spt="100" style="position:absolute;left:0pt;margin-left:90.5pt;margin-top:1.7pt;height:5.3pt;width:63.1pt;mso-position-horizontal-relative:page;z-index:-251637760;mso-width-relative:page;mso-height-relative:page;" fillcolor="#FFFFFF" filled="t" stroked="f" coordsize="801624,67056" o:gfxdata="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suY1fWAAAACAEAAA8AAAAAAAAAAQAgAAAAIgAAAGRycy9k&#10;b3ducmV2LnhtbFBLAQIUABQAAAAIAIdO4kDGfAjqPQIAAB0FAAAOAAAAAAAAAAEAIAAAACUBAABk&#10;cnMvZTJvRG9jLnhtbFBLBQYAAAAABgAGAFkBAADUBQAAAAA=&#10;" path="m0,67056l801624,67056,801624,0,0,0,0,6705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79744" behindDoc="1" locked="0" layoutInCell="1" allowOverlap="1">
                <wp:simplePos x="0" y="0"/>
                <wp:positionH relativeFrom="page">
                  <wp:posOffset>1146175</wp:posOffset>
                </wp:positionH>
                <wp:positionV relativeFrom="page">
                  <wp:posOffset>9688830</wp:posOffset>
                </wp:positionV>
                <wp:extent cx="807720" cy="67310"/>
                <wp:effectExtent l="0" t="0" r="11430" b="8890"/>
                <wp:wrapNone/>
                <wp:docPr id="349" name="Freeform 349"/>
                <wp:cNvGraphicFramePr/>
                <a:graphic xmlns:a="http://schemas.openxmlformats.org/drawingml/2006/main">
                  <a:graphicData uri="http://schemas.microsoft.com/office/word/2010/wordprocessingShape">
                    <wps:wsp>
                      <wps:cNvSpPr/>
                      <wps:spPr>
                        <a:xfrm>
                          <a:off x="0" y="0"/>
                          <a:ext cx="807720" cy="67056"/>
                        </a:xfrm>
                        <a:custGeom>
                          <a:avLst/>
                          <a:gdLst/>
                          <a:ahLst/>
                          <a:cxnLst/>
                          <a:rect l="l" t="t" r="r" b="b"/>
                          <a:pathLst>
                            <a:path w="807720" h="67056">
                              <a:moveTo>
                                <a:pt x="0" y="67056"/>
                              </a:moveTo>
                              <a:lnTo>
                                <a:pt x="807720" y="67056"/>
                              </a:lnTo>
                              <a:lnTo>
                                <a:pt x="807720" y="0"/>
                              </a:lnTo>
                              <a:lnTo>
                                <a:pt x="0" y="0"/>
                              </a:lnTo>
                              <a:lnTo>
                                <a:pt x="0" y="6705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49" o:spid="_x0000_s1026" o:spt="100" style="position:absolute;left:0pt;margin-left:90.25pt;margin-top:762.9pt;height:5.3pt;width:63.6pt;mso-position-horizontal-relative:page;mso-position-vertical-relative:page;z-index:-251636736;mso-width-relative:page;mso-height-relative:page;" fillcolor="#FFFFFF" filled="t" stroked="f" coordsize="807720,67056" o:gfxdata="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rhqvTcAAAADQEAAA8AAAAAAAAAAQAgAAAAIgAA&#10;AGRycy9kb3ducmV2LnhtbFBLAQIUABQAAAAIAIdO4kByVdkvPQIAAB0FAAAOAAAAAAAAAAEAIAAA&#10;ACsBAABkcnMvZTJvRG9jLnhtbFBLBQYAAAAABgAGAFkBAADaBQAAAAA=&#10;" path="m0,67056l807720,67056,807720,0,0,0,0,6705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82816" behindDoc="1" locked="0" layoutInCell="1" allowOverlap="1">
                <wp:simplePos x="0" y="0"/>
                <wp:positionH relativeFrom="page">
                  <wp:posOffset>1953895</wp:posOffset>
                </wp:positionH>
                <wp:positionV relativeFrom="page">
                  <wp:posOffset>9688830</wp:posOffset>
                </wp:positionV>
                <wp:extent cx="2704465" cy="67310"/>
                <wp:effectExtent l="0" t="0" r="635" b="8890"/>
                <wp:wrapNone/>
                <wp:docPr id="350" name="Freeform 350"/>
                <wp:cNvGraphicFramePr/>
                <a:graphic xmlns:a="http://schemas.openxmlformats.org/drawingml/2006/main">
                  <a:graphicData uri="http://schemas.microsoft.com/office/word/2010/wordprocessingShape">
                    <wps:wsp>
                      <wps:cNvSpPr/>
                      <wps:spPr>
                        <a:xfrm>
                          <a:off x="0" y="0"/>
                          <a:ext cx="2704210" cy="67056"/>
                        </a:xfrm>
                        <a:custGeom>
                          <a:avLst/>
                          <a:gdLst/>
                          <a:ahLst/>
                          <a:cxnLst/>
                          <a:rect l="l" t="t" r="r" b="b"/>
                          <a:pathLst>
                            <a:path w="2704210" h="67056">
                              <a:moveTo>
                                <a:pt x="0" y="67056"/>
                              </a:moveTo>
                              <a:lnTo>
                                <a:pt x="2704210" y="67056"/>
                              </a:lnTo>
                              <a:lnTo>
                                <a:pt x="2704210" y="0"/>
                              </a:lnTo>
                              <a:lnTo>
                                <a:pt x="0" y="0"/>
                              </a:lnTo>
                              <a:lnTo>
                                <a:pt x="0" y="6705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50" o:spid="_x0000_s1026" o:spt="100" style="position:absolute;left:0pt;margin-left:153.85pt;margin-top:762.9pt;height:5.3pt;width:212.95pt;mso-position-horizontal-relative:page;mso-position-vertical-relative:page;z-index:-251633664;mso-width-relative:page;mso-height-relative:page;" fillcolor="#FFFFFF" filled="t" stroked="f" coordsize="2704210,67056" o:gfxdata="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K8W/PbAAAADQEAAA8AAAAAAAAAAQAgAAAAIgAAAGRy&#10;cy9kb3ducmV2LnhtbFBLAQIUABQAAAAIAIdO4kCNbP7XOwIAACEFAAAOAAAAAAAAAAEAIAAAACoB&#10;AABkcnMvZTJvRG9jLnhtbFBLBQYAAAAABgAGAFkBAADXBQAAAAA=&#10;" path="m0,67056l2704210,67056,2704210,0,0,0,0,6705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84864" behindDoc="1" locked="0" layoutInCell="1" allowOverlap="1">
                <wp:simplePos x="0" y="0"/>
                <wp:positionH relativeFrom="page">
                  <wp:posOffset>4657725</wp:posOffset>
                </wp:positionH>
                <wp:positionV relativeFrom="page">
                  <wp:posOffset>9688830</wp:posOffset>
                </wp:positionV>
                <wp:extent cx="1757680" cy="67310"/>
                <wp:effectExtent l="0" t="0" r="13970" b="8890"/>
                <wp:wrapNone/>
                <wp:docPr id="351" name="Freeform 351"/>
                <wp:cNvGraphicFramePr/>
                <a:graphic xmlns:a="http://schemas.openxmlformats.org/drawingml/2006/main">
                  <a:graphicData uri="http://schemas.microsoft.com/office/word/2010/wordprocessingShape">
                    <wps:wsp>
                      <wps:cNvSpPr/>
                      <wps:spPr>
                        <a:xfrm>
                          <a:off x="0" y="0"/>
                          <a:ext cx="1757426" cy="67056"/>
                        </a:xfrm>
                        <a:custGeom>
                          <a:avLst/>
                          <a:gdLst/>
                          <a:ahLst/>
                          <a:cxnLst/>
                          <a:rect l="l" t="t" r="r" b="b"/>
                          <a:pathLst>
                            <a:path w="1757426" h="67056">
                              <a:moveTo>
                                <a:pt x="0" y="67056"/>
                              </a:moveTo>
                              <a:lnTo>
                                <a:pt x="1757426" y="67056"/>
                              </a:lnTo>
                              <a:lnTo>
                                <a:pt x="1757426" y="0"/>
                              </a:lnTo>
                              <a:lnTo>
                                <a:pt x="0" y="0"/>
                              </a:lnTo>
                              <a:lnTo>
                                <a:pt x="0" y="6705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51" o:spid="_x0000_s1026" o:spt="100" style="position:absolute;left:0pt;margin-left:366.75pt;margin-top:762.9pt;height:5.3pt;width:138.4pt;mso-position-horizontal-relative:page;mso-position-vertical-relative:page;z-index:-251631616;mso-width-relative:page;mso-height-relative:page;" fillcolor="#FFFFFF" filled="t" stroked="f" coordsize="1757426,67056" o:gfxdata="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N9anbYAAAADgEAAA8AAAAAAAAAAQAgAAAAIgAAAGRy&#10;cy9kb3ducmV2LnhtbFBLAQIUABQAAAAIAIdO4kDwWq1LPgIAACEFAAAOAAAAAAAAAAEAIAAAACcB&#10;AABkcnMvZTJvRG9jLnhtbFBLBQYAAAAABgAGAFkBAADXBQAAAAA=&#10;" path="m0,67056l1757426,67056,1757426,0,0,0,0,6705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81792" behindDoc="1" locked="0" layoutInCell="1" allowOverlap="1">
                <wp:simplePos x="0" y="0"/>
                <wp:positionH relativeFrom="page">
                  <wp:posOffset>1143000</wp:posOffset>
                </wp:positionH>
                <wp:positionV relativeFrom="page">
                  <wp:posOffset>9756140</wp:posOffset>
                </wp:positionV>
                <wp:extent cx="6350" cy="6350"/>
                <wp:effectExtent l="0" t="0" r="0" b="0"/>
                <wp:wrapNone/>
                <wp:docPr id="352" name="Freeform 35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52" o:spid="_x0000_s1026" o:spt="100" style="position:absolute;left:0pt;margin-left:90pt;margin-top:768.2pt;height:0.5pt;width:0.5pt;mso-position-horizontal-relative:page;mso-position-vertical-relative:page;z-index:-251634688;mso-width-relative:page;mso-height-relative:page;" fillcolor="#000000" filled="t" stroked="f" coordsize="6096,6096" o:gfxdata="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SaCO62gAAAA0BAAAPAAAAAAAAAAEAIAAAACIAAABkcnMvZG93&#10;bnJldi54bWxQSwECFAAUAAAACACHTuJAYzfRNjcCAAAQBQAADgAAAAAAAAABACAAAAApAQAAZHJz&#10;L2Uyb0RvYy54bWxQSwUGAAAAAAYABgBZAQAA0gUAAAAA&#10;" path="m0,6096l6096,6096,6096,0,0,0,0,609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80768" behindDoc="1" locked="0" layoutInCell="1" allowOverlap="1">
                <wp:simplePos x="0" y="0"/>
                <wp:positionH relativeFrom="page">
                  <wp:posOffset>1143000</wp:posOffset>
                </wp:positionH>
                <wp:positionV relativeFrom="page">
                  <wp:posOffset>9756140</wp:posOffset>
                </wp:positionV>
                <wp:extent cx="6350" cy="6350"/>
                <wp:effectExtent l="0" t="0" r="0" b="0"/>
                <wp:wrapNone/>
                <wp:docPr id="353" name="Freeform 35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53" o:spid="_x0000_s1026" o:spt="100" style="position:absolute;left:0pt;margin-left:90pt;margin-top:768.2pt;height:0.5pt;width:0.5pt;mso-position-horizontal-relative:page;mso-position-vertical-relative:page;z-index:-251635712;mso-width-relative:page;mso-height-relative:page;" fillcolor="#000000" filled="t" stroked="f" coordsize="6096,6096" o:gfxdata="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SaCO62gAAAA0BAAAPAAAAAAAAAAEAIAAAACIAAABkcnMvZG93&#10;bnJldi54bWxQSwECFAAUAAAACACHTuJA18a1GzcCAAAQBQAADgAAAAAAAAABACAAAAApAQAAZHJz&#10;L2Uyb0RvYy54bWxQSwUGAAAAAAYABgBZAQAA0gUAAAAA&#10;" path="m0,6096l6096,6096,6096,0,0,0,0,609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83840" behindDoc="1" locked="0" layoutInCell="1" allowOverlap="1">
                <wp:simplePos x="0" y="0"/>
                <wp:positionH relativeFrom="page">
                  <wp:posOffset>1950720</wp:posOffset>
                </wp:positionH>
                <wp:positionV relativeFrom="page">
                  <wp:posOffset>9756140</wp:posOffset>
                </wp:positionV>
                <wp:extent cx="6350" cy="6350"/>
                <wp:effectExtent l="0" t="0" r="0" b="0"/>
                <wp:wrapNone/>
                <wp:docPr id="354" name="Freeform 35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54" o:spid="_x0000_s1026" o:spt="100" style="position:absolute;left:0pt;margin-left:153.6pt;margin-top:768.2pt;height:0.5pt;width:0.5pt;mso-position-horizontal-relative:page;mso-position-vertical-relative:page;z-index:-251632640;mso-width-relative:page;mso-height-relative:page;" fillcolor="#000000" filled="t" stroked="f" coordsize="6096,6096" o:gfxdata="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kT2vj3QAAAA0BAAAPAAAAAAAAAAEAIAAAACIAAABkcnMv&#10;ZG93bnJldi54bWxQSwECFAAUAAAACACHTuJA2xKL2TcCAAAQBQAADgAAAAAAAAABACAAAAAsAQAA&#10;ZHJzL2Uyb0RvYy54bWxQSwUGAAAAAAYABgBZAQAA1QUAAAAA&#10;" path="m0,6096l6096,6096,6096,0,0,0,0,609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85888" behindDoc="1" locked="0" layoutInCell="1" allowOverlap="1">
                <wp:simplePos x="0" y="0"/>
                <wp:positionH relativeFrom="page">
                  <wp:posOffset>4654550</wp:posOffset>
                </wp:positionH>
                <wp:positionV relativeFrom="page">
                  <wp:posOffset>9756140</wp:posOffset>
                </wp:positionV>
                <wp:extent cx="6350" cy="6350"/>
                <wp:effectExtent l="0" t="0" r="0" b="0"/>
                <wp:wrapNone/>
                <wp:docPr id="355" name="Freeform 35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55" o:spid="_x0000_s1026" o:spt="100" style="position:absolute;left:0pt;margin-left:366.5pt;margin-top:768.2pt;height:0.5pt;width:0.5pt;mso-position-horizontal-relative:page;mso-position-vertical-relative:page;z-index:-251630592;mso-width-relative:page;mso-height-relative:page;" fillcolor="#000000" filled="t" stroked="f" coordsize="6096,6096" o:gfxdata="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zZhs3QAAAA0BAAAPAAAAAAAAAAEAIAAAACIAAABkcnMv&#10;ZG93bnJldi54bWxQSwECFAAUAAAACACHTuJAb+Pv9DcCAAAQBQAADgAAAAAAAAABACAAAAAsAQAA&#10;ZHJzL2Uyb0RvYy54bWxQSwUGAAAAAAYABgBZAQAA1QUAAAAA&#10;" path="m0,6096l6096,6096,6096,0,0,0,0,609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87936" behindDoc="0" locked="0" layoutInCell="1" allowOverlap="1">
                <wp:simplePos x="0" y="0"/>
                <wp:positionH relativeFrom="page">
                  <wp:posOffset>6412230</wp:posOffset>
                </wp:positionH>
                <wp:positionV relativeFrom="page">
                  <wp:posOffset>9756140</wp:posOffset>
                </wp:positionV>
                <wp:extent cx="6350" cy="6350"/>
                <wp:effectExtent l="0" t="0" r="0" b="0"/>
                <wp:wrapNone/>
                <wp:docPr id="356" name="Freeform 35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56" o:spid="_x0000_s1026" o:spt="100" style="position:absolute;left:0pt;margin-left:504.9pt;margin-top:768.2pt;height:0.5pt;width:0.5pt;mso-position-horizontal-relative:page;mso-position-vertical-relative:page;z-index:251687936;mso-width-relative:page;mso-height-relative:page;" fillcolor="#000000" filled="t" stroked="f" coordsize="6096,6096" o:gfxdata="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iduFDdAAAADwEAAA8AAAAAAAAAAQAgAAAAIgAAAGRycy9k&#10;b3ducmV2LnhtbFBLAQIUABQAAAAIAIdO4kCz8UKDNgIAABAFAAAOAAAAAAAAAAEAIAAAACwBAABk&#10;cnMvZTJvRG9jLnhtbFBLBQYAAAAABgAGAFkBAADUBQAAAAA=&#10;" path="m0,6096l6096,6096,6096,0,0,0,0,609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86912" behindDoc="0" locked="0" layoutInCell="1" allowOverlap="1">
                <wp:simplePos x="0" y="0"/>
                <wp:positionH relativeFrom="page">
                  <wp:posOffset>6412230</wp:posOffset>
                </wp:positionH>
                <wp:positionV relativeFrom="page">
                  <wp:posOffset>9756140</wp:posOffset>
                </wp:positionV>
                <wp:extent cx="6350" cy="6350"/>
                <wp:effectExtent l="0" t="0" r="0" b="0"/>
                <wp:wrapNone/>
                <wp:docPr id="357" name="Freeform 35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57" o:spid="_x0000_s1026" o:spt="100" style="position:absolute;left:0pt;margin-left:504.9pt;margin-top:768.2pt;height:0.5pt;width:0.5pt;mso-position-horizontal-relative:page;mso-position-vertical-relative:page;z-index:251686912;mso-width-relative:page;mso-height-relative:page;" fillcolor="#000000" filled="t" stroked="f" coordsize="6096,6096" o:gfxdata="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YnbhQ3QAAAA8BAAAPAAAAAAAAAAEAIAAAACIAAABkcnMv&#10;ZG93bnJldi54bWxQSwECFAAUAAAACACHTuJABwAmrjcCAAAQBQAADgAAAAAAAAABACAAAAAsAQAA&#10;ZHJzL2Uyb0RvYy54bWxQSwUGAAAAAAYABgBZAQAA1QUAAAAA&#10;" path="m0,6096l6096,6096,6096,0,0,0,0,609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61312" behindDoc="1" locked="0" layoutInCell="1" allowOverlap="1">
                <wp:simplePos x="0" y="0"/>
                <wp:positionH relativeFrom="page">
                  <wp:posOffset>1143000</wp:posOffset>
                </wp:positionH>
                <wp:positionV relativeFrom="paragraph">
                  <wp:posOffset>0</wp:posOffset>
                </wp:positionV>
                <wp:extent cx="6350" cy="6350"/>
                <wp:effectExtent l="0" t="0" r="0" b="0"/>
                <wp:wrapNone/>
                <wp:docPr id="358" name="Freeform 35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58" o:spid="_x0000_s1026" o:spt="100" style="position:absolute;left:0pt;margin-left:90pt;margin-top:0pt;height:0.5pt;width:0.5pt;mso-position-horizontal-relative:page;z-index:-251655168;mso-width-relative:page;mso-height-relative:page;" fillcolor="#000000" filled="t" stroked="f" coordsize="6096,6096" o:gfxdata="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wsLem1QAAAAYBAAAPAAAAAAAAAAEAIAAAACIAAABkcnMvZG93bnJldi54&#10;bWxQSwECFAAUAAAACACHTuJA6l9O3DYCAAAQBQAADgAAAAAAAAABACAAAAAkAQAAZHJzL2Uyb0Rv&#10;Yy54bWxQSwUGAAAAAAYABgBZAQAAzAUAAAAA&#10;" path="m0,6096l6096,6096,6096,0,0,0,0,609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62336" behindDoc="1" locked="0" layoutInCell="1" allowOverlap="1">
                <wp:simplePos x="0" y="0"/>
                <wp:positionH relativeFrom="page">
                  <wp:posOffset>1149350</wp:posOffset>
                </wp:positionH>
                <wp:positionV relativeFrom="paragraph">
                  <wp:posOffset>5715</wp:posOffset>
                </wp:positionV>
                <wp:extent cx="801370" cy="67310"/>
                <wp:effectExtent l="0" t="0" r="17780" b="8890"/>
                <wp:wrapNone/>
                <wp:docPr id="359" name="Freeform 359"/>
                <wp:cNvGraphicFramePr/>
                <a:graphic xmlns:a="http://schemas.openxmlformats.org/drawingml/2006/main">
                  <a:graphicData uri="http://schemas.microsoft.com/office/word/2010/wordprocessingShape">
                    <wps:wsp>
                      <wps:cNvSpPr/>
                      <wps:spPr>
                        <a:xfrm>
                          <a:off x="0" y="0"/>
                          <a:ext cx="801624" cy="67056"/>
                        </a:xfrm>
                        <a:custGeom>
                          <a:avLst/>
                          <a:gdLst/>
                          <a:ahLst/>
                          <a:cxnLst/>
                          <a:rect l="l" t="t" r="r" b="b"/>
                          <a:pathLst>
                            <a:path w="801624" h="67056">
                              <a:moveTo>
                                <a:pt x="0" y="67056"/>
                              </a:moveTo>
                              <a:lnTo>
                                <a:pt x="801624" y="67056"/>
                              </a:lnTo>
                              <a:lnTo>
                                <a:pt x="801624" y="0"/>
                              </a:lnTo>
                              <a:lnTo>
                                <a:pt x="0" y="0"/>
                              </a:lnTo>
                              <a:lnTo>
                                <a:pt x="0" y="6705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59" o:spid="_x0000_s1026" o:spt="100" style="position:absolute;left:0pt;margin-left:90.5pt;margin-top:0.45pt;height:5.3pt;width:63.1pt;mso-position-horizontal-relative:page;z-index:-251654144;mso-width-relative:page;mso-height-relative:page;" fillcolor="#FFFFFF" filled="t" stroked="f" coordsize="801624,67056" o:gfxdata="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rfm5XVAAAABwEAAA8AAAAAAAAAAQAgAAAAIgAAAGRycy9k&#10;b3ducmV2LnhtbFBLAQIUABQAAAAIAIdO4kDRwflgPgIAAB0FAAAOAAAAAAAAAAEAIAAAACQBAABk&#10;cnMvZTJvRG9jLnhtbFBLBQYAAAAABgAGAFkBAADUBQAAAAA=&#10;" path="m0,67056l801624,67056,801624,0,0,0,0,6705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63360" behindDoc="1" locked="0" layoutInCell="1" allowOverlap="1">
                <wp:simplePos x="0" y="0"/>
                <wp:positionH relativeFrom="page">
                  <wp:posOffset>1950720</wp:posOffset>
                </wp:positionH>
                <wp:positionV relativeFrom="paragraph">
                  <wp:posOffset>0</wp:posOffset>
                </wp:positionV>
                <wp:extent cx="6350" cy="6350"/>
                <wp:effectExtent l="0" t="0" r="0" b="0"/>
                <wp:wrapNone/>
                <wp:docPr id="361" name="Freeform 36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61" o:spid="_x0000_s1026" o:spt="100" style="position:absolute;left:0pt;margin-left:153.6pt;margin-top:0pt;height:0.5pt;width:0.5pt;mso-position-horizontal-relative:page;z-index:-251653120;mso-width-relative:page;mso-height-relative:page;" fillcolor="#000000" filled="t" stroked="f" coordsize="6096,6096" o:gfxdata="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oBQfD9YAAAAGAQAADwAAAAAAAAABACAAAAAiAAAAZHJzL2Rvd25yZXYu&#10;eG1sUEsBAhQAFAAAAAgAh07iQFIWbs42AgAAEAUAAA4AAAAAAAAAAQAgAAAAJQEAAGRycy9lMm9E&#10;b2MueG1sUEsFBgAAAAAGAAYAWQEAAM0FAAAAAA==&#10;" path="m0,6096l6096,6096,6096,0,0,0,0,609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64384" behindDoc="1" locked="0" layoutInCell="1" allowOverlap="1">
                <wp:simplePos x="0" y="0"/>
                <wp:positionH relativeFrom="page">
                  <wp:posOffset>4654550</wp:posOffset>
                </wp:positionH>
                <wp:positionV relativeFrom="paragraph">
                  <wp:posOffset>0</wp:posOffset>
                </wp:positionV>
                <wp:extent cx="6350" cy="6350"/>
                <wp:effectExtent l="0" t="0" r="0" b="0"/>
                <wp:wrapNone/>
                <wp:docPr id="364" name="Freeform 36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64" o:spid="_x0000_s1026" o:spt="100" style="position:absolute;left:0pt;margin-left:366.5pt;margin-top:0pt;height:0.5pt;width:0.5pt;mso-position-horizontal-relative:page;z-index:-251652096;mso-width-relative:page;mso-height-relative:page;" fillcolor="#000000" filled="t" stroked="f" coordsize="6096,6096" o:gfxdata="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0OZb9gAAAAGAQAADwAAAAAAAAABACAAAAAiAAAAZHJzL2Rvd25y&#10;ZXYueG1sUEsBAhQAFAAAAAgAh07iQDYhmVY3AgAAEAUAAA4AAAAAAAAAAQAgAAAAJwEAAGRycy9l&#10;Mm9Eb2MueG1sUEsFBgAAAAAGAAYAWQEAANAFAAAAAA==&#10;" path="m0,6096l6096,6096,6096,0,0,0,0,609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65408" behindDoc="1" locked="0" layoutInCell="1" allowOverlap="1">
                <wp:simplePos x="0" y="0"/>
                <wp:positionH relativeFrom="page">
                  <wp:posOffset>6412230</wp:posOffset>
                </wp:positionH>
                <wp:positionV relativeFrom="paragraph">
                  <wp:posOffset>0</wp:posOffset>
                </wp:positionV>
                <wp:extent cx="6350" cy="6350"/>
                <wp:effectExtent l="0" t="0" r="0" b="0"/>
                <wp:wrapNone/>
                <wp:docPr id="367" name="Freeform 36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67" o:spid="_x0000_s1026" o:spt="100" style="position:absolute;left:0pt;margin-left:504.9pt;margin-top:0pt;height:0.5pt;width:0.5pt;mso-position-horizontal-relative:page;z-index:-251651072;mso-width-relative:page;mso-height-relative:page;" fillcolor="#000000" filled="t" stroked="f" coordsize="6096,6096" o:gfxdata="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nTivr1QAAAAgBAAAPAAAAAAAAAAEAIAAAACIAAABkcnMvZG93bnJldi54&#10;bWxQSwECFAAUAAAACACHTuJA6jM0ITYCAAAQBQAADgAAAAAAAAABACAAAAAkAQAAZHJzL2Uyb0Rv&#10;Yy54bWxQSwUGAAAAAAYABgBZAQAAzAUAAAAA&#10;" path="m0,6096l6096,6096,6096,0,0,0,0,609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w:t>2.下单模式</w:t>
      </w:r>
    </w:p>
    <w:p w14:paraId="5F3B32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下单模式有“按组合数量下单”、“按总金额及权重下单”、“按账户可用资金比例下单”。</w:t>
      </w:r>
    </w:p>
    <w:p w14:paraId="4C9F21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（1）按组合数量下单</w:t>
      </w:r>
    </w:p>
    <w:p w14:paraId="0EA70F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下单时如果交易总量选择“按组合数量下单”，交易总量下方的“组合份数”必填，以组合 为单位，成分股委托数量系统会自动计算，计算公式=样本数量*组合份数。操作如图所示： </w:t>
      </w:r>
    </w:p>
    <w:p w14:paraId="171872B7">
      <w:pPr>
        <w:numPr>
          <w:ilvl w:val="0"/>
          <w:numId w:val="0"/>
        </w:numPr>
        <w:jc w:val="center"/>
        <w:rPr>
          <w:rFonts w:hint="eastAsia" w:ascii="宋体" w:hAnsi="宋体" w:eastAsia="宋体" w:cs="宋体"/>
        </w:rPr>
      </w:pPr>
      <w:r>
        <w:rPr>
          <w:rFonts w:hint="eastAsia" w:ascii="宋体" w:hAnsi="宋体" w:eastAsia="宋体" w:cs="宋体"/>
        </w:rPr>
        <w:drawing>
          <wp:inline distT="0" distB="0" distL="114300" distR="114300">
            <wp:extent cx="2438400" cy="3867150"/>
            <wp:effectExtent l="0" t="0" r="0" b="0"/>
            <wp:docPr id="18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56"/>
                    <pic:cNvPicPr>
                      <a:picLocks noChangeAspect="1"/>
                    </pic:cNvPicPr>
                  </pic:nvPicPr>
                  <pic:blipFill>
                    <a:blip r:embed="rId70"/>
                    <a:stretch>
                      <a:fillRect/>
                    </a:stretch>
                  </pic:blipFill>
                  <pic:spPr>
                    <a:xfrm>
                      <a:off x="0" y="0"/>
                      <a:ext cx="2438400" cy="3867150"/>
                    </a:xfrm>
                    <a:prstGeom prst="rect">
                      <a:avLst/>
                    </a:prstGeom>
                    <a:noFill/>
                    <a:ln>
                      <a:noFill/>
                    </a:ln>
                  </pic:spPr>
                </pic:pic>
              </a:graphicData>
            </a:graphic>
          </wp:inline>
        </w:drawing>
      </w:r>
    </w:p>
    <w:p w14:paraId="13F62D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（2）按总金额及权重下单  </w:t>
      </w:r>
    </w:p>
    <w:p w14:paraId="25EC875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下单时如果交易总量选择“按总金额及权重下单”，交易总量下方的“委托金额”以及组合 中成分股的“相对权重”必填，成分股委托数量系统会自动计算，买入委托数量计算公式= 总金额*绝对权重/买入价格，卖出委托数量计算公式=总金额*绝对权重/卖出价格。</w:t>
      </w:r>
    </w:p>
    <w:p w14:paraId="47A4C9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（3）账户可用资金比例下单  </w:t>
      </w:r>
    </w:p>
    <w:p w14:paraId="447EFF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下单时如果交易总量选择“按账户可用资金比例下单”，交易总量下方的“所占比例”以及 组合中成分股的“相对权重”为必填，成分股委托数量系统会自动计算，</w:t>
      </w:r>
    </w:p>
    <w:p w14:paraId="1211B8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买入计算公式=账户可用资金*可用资金比例*绝对权重/买入价格，</w:t>
      </w:r>
    </w:p>
    <w:p w14:paraId="7E9378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卖出计算公式=账户可用资金*可用资金比 例*绝对权重/卖出价格。</w:t>
      </w:r>
    </w:p>
    <w:p w14:paraId="79766A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3.下单按钮</w:t>
      </w:r>
    </w:p>
    <w:p w14:paraId="0F1805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下单按钮会根据成分股是否指定委托方向以及资产账号类型做区分。</w:t>
      </w:r>
    </w:p>
    <w:p w14:paraId="31DE59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（1）一键下单</w:t>
      </w:r>
    </w:p>
    <w:p w14:paraId="647A25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当成分股已指定委托方向，则下单按钮显示【一键下单】。</w:t>
      </w:r>
    </w:p>
    <w:p w14:paraId="260746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（2）【买入组合】和【卖出组合】  </w:t>
      </w:r>
    </w:p>
    <w:p w14:paraId="4BFED3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当成分股未指定委托方向且资产账号为普通A股账号，则下单按钮显示【买入组合】和【卖 出组合】。</w:t>
      </w:r>
    </w:p>
    <w:p w14:paraId="6B5597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4.订单数据监控</w:t>
      </w:r>
    </w:p>
    <w:p w14:paraId="698ECF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（1）组合订单监控</w:t>
      </w:r>
    </w:p>
    <w:p w14:paraId="10F6C0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组合下单后，支持用户在组合订单监控中查看全部订单的委托及成交进度，对未完成的组合 做撤单、补单和一键撤补的操作</w:t>
      </w:r>
    </w:p>
    <w:p w14:paraId="67D05A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lang w:val="en-US" w:eastAsia="zh-CN"/>
        </w:rPr>
      </w:pPr>
      <w:r>
        <w:rPr>
          <w:rFonts w:hint="eastAsia" w:ascii="宋体" w:hAnsi="宋体" w:eastAsia="宋体" w:cs="宋体"/>
          <w:b/>
          <w:bCs/>
          <w:lang w:val="en-US" w:eastAsia="zh-CN"/>
        </w:rPr>
        <w:t>撤单</w:t>
      </w:r>
      <w:r>
        <w:rPr>
          <w:rFonts w:hint="eastAsia" w:ascii="宋体" w:hAnsi="宋体" w:eastAsia="宋体" w:cs="宋体"/>
          <w:lang w:val="en-US" w:eastAsia="zh-CN"/>
        </w:rPr>
        <w:t>：组合下单后，可对未成交的订单做撤单操作。对于组合算法单，撤单后原算法实例停止。</w:t>
      </w:r>
    </w:p>
    <w:p w14:paraId="7A7A09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lang w:val="en-US" w:eastAsia="zh-CN"/>
        </w:rPr>
      </w:pPr>
      <w:r>
        <w:rPr>
          <w:rFonts w:hint="eastAsia" w:ascii="宋体" w:hAnsi="宋体" w:eastAsia="宋体" w:cs="宋体"/>
          <w:b/>
          <w:bCs/>
          <w:lang w:val="en-US" w:eastAsia="zh-CN"/>
        </w:rPr>
        <w:t>补单</w:t>
      </w:r>
      <w:r>
        <w:rPr>
          <w:rFonts w:hint="eastAsia" w:ascii="宋体" w:hAnsi="宋体" w:eastAsia="宋体" w:cs="宋体"/>
          <w:lang w:val="en-US" w:eastAsia="zh-CN"/>
        </w:rPr>
        <w:t>：组合撤单后，可对撤单和废单部分的订单做补单操作。补单时可调整报价方式及价格类型、 委托方向和零股处理的参数选项。对于组合算法单，补单后会创建新的算法实例。</w:t>
      </w:r>
    </w:p>
    <w:p w14:paraId="1C739A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lang w:val="en-US" w:eastAsia="zh-CN"/>
        </w:rPr>
      </w:pPr>
      <w:r>
        <w:rPr>
          <w:rFonts w:hint="eastAsia" w:ascii="宋体" w:hAnsi="宋体" w:eastAsia="宋体" w:cs="宋体"/>
          <w:b/>
          <w:bCs/>
          <w:lang w:val="en-US" w:eastAsia="zh-CN"/>
        </w:rPr>
        <w:t>一键撤补</w:t>
      </w:r>
      <w:r>
        <w:rPr>
          <w:rFonts w:hint="eastAsia" w:ascii="宋体" w:hAnsi="宋体" w:eastAsia="宋体" w:cs="宋体"/>
          <w:lang w:val="en-US" w:eastAsia="zh-CN"/>
        </w:rPr>
        <w:t>：组合下单后，可对未完成的组合做“先撤后补”的一键撤补操作。一键撤补时可调整报价方 式及价格类型、委托方向和零股处理的参数选项。</w:t>
      </w:r>
    </w:p>
    <w:p w14:paraId="475994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（2）委托明细</w:t>
      </w:r>
    </w:p>
    <w:p w14:paraId="468C45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展示当日所有组合的委托明细，可通过账号、组合订单号、代码等条件筛选委托订单，也可 通过可撤、废单、全部等委托状态筛选委托订单。支持选择单笔或多笔订单进行撤单。</w:t>
      </w:r>
    </w:p>
    <w:p w14:paraId="41D0BEAB">
      <w:pPr>
        <w:numPr>
          <w:ilvl w:val="0"/>
          <w:numId w:val="0"/>
        </w:numPr>
        <w:ind w:leftChars="0"/>
        <w:jc w:val="left"/>
        <w:rPr>
          <w:rFonts w:hint="eastAsia" w:ascii="宋体" w:hAnsi="宋体" w:eastAsia="宋体" w:cs="宋体"/>
          <w:lang w:val="en-US" w:eastAsia="zh-CN"/>
        </w:rPr>
      </w:pPr>
      <w:r>
        <w:rPr>
          <w:rFonts w:hint="eastAsia" w:ascii="宋体" w:hAnsi="宋体" w:eastAsia="宋体" w:cs="宋体"/>
        </w:rPr>
        <w:drawing>
          <wp:inline distT="0" distB="0" distL="114300" distR="114300">
            <wp:extent cx="5258435" cy="944880"/>
            <wp:effectExtent l="0" t="0" r="18415" b="7620"/>
            <wp:docPr id="18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57"/>
                    <pic:cNvPicPr>
                      <a:picLocks noChangeAspect="1"/>
                    </pic:cNvPicPr>
                  </pic:nvPicPr>
                  <pic:blipFill>
                    <a:blip r:embed="rId71"/>
                    <a:stretch>
                      <a:fillRect/>
                    </a:stretch>
                  </pic:blipFill>
                  <pic:spPr>
                    <a:xfrm>
                      <a:off x="0" y="0"/>
                      <a:ext cx="5258435" cy="944880"/>
                    </a:xfrm>
                    <a:prstGeom prst="rect">
                      <a:avLst/>
                    </a:prstGeom>
                    <a:noFill/>
                    <a:ln>
                      <a:noFill/>
                    </a:ln>
                  </pic:spPr>
                </pic:pic>
              </a:graphicData>
            </a:graphic>
          </wp:inline>
        </w:drawing>
      </w:r>
    </w:p>
    <w:p w14:paraId="7A06925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（3）成交明细</w:t>
      </w:r>
    </w:p>
    <w:p w14:paraId="71BE98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展示当日所有组合的成交明细，可通过账号、组合订单号、代码等条件筛选成交订单，并提供按代码汇总和明细两种方式查看成交订单，默认展示明细数据。</w:t>
      </w:r>
    </w:p>
    <w:p w14:paraId="70FDC81C">
      <w:pPr>
        <w:numPr>
          <w:ilvl w:val="0"/>
          <w:numId w:val="0"/>
        </w:numPr>
        <w:ind w:leftChars="0"/>
        <w:jc w:val="left"/>
        <w:rPr>
          <w:rFonts w:hint="eastAsia" w:ascii="宋体" w:hAnsi="宋体" w:eastAsia="宋体" w:cs="宋体"/>
          <w:color w:val="000000"/>
          <w:sz w:val="21"/>
          <w:szCs w:val="21"/>
          <w:lang w:eastAsia="zh-CN"/>
        </w:rPr>
      </w:pPr>
      <w:r>
        <w:rPr>
          <w:rFonts w:hint="eastAsia" w:ascii="宋体" w:hAnsi="宋体" w:eastAsia="宋体" w:cs="宋体"/>
        </w:rPr>
        <w:drawing>
          <wp:inline distT="0" distB="0" distL="114300" distR="114300">
            <wp:extent cx="5267325" cy="987425"/>
            <wp:effectExtent l="0" t="0" r="9525" b="3175"/>
            <wp:docPr id="19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58"/>
                    <pic:cNvPicPr>
                      <a:picLocks noChangeAspect="1"/>
                    </pic:cNvPicPr>
                  </pic:nvPicPr>
                  <pic:blipFill>
                    <a:blip r:embed="rId72"/>
                    <a:stretch>
                      <a:fillRect/>
                    </a:stretch>
                  </pic:blipFill>
                  <pic:spPr>
                    <a:xfrm>
                      <a:off x="0" y="0"/>
                      <a:ext cx="5267325" cy="987425"/>
                    </a:xfrm>
                    <a:prstGeom prst="rect">
                      <a:avLst/>
                    </a:prstGeom>
                    <a:noFill/>
                    <a:ln>
                      <a:noFill/>
                    </a:ln>
                  </pic:spPr>
                </pic:pic>
              </a:graphicData>
            </a:graphic>
          </wp:inline>
        </w:drawing>
      </w:r>
    </w:p>
    <w:p w14:paraId="2F9E84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（4）持仓明细</w:t>
      </w:r>
    </w:p>
    <w:p w14:paraId="1C0601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展示当前用户全部账号下的持仓数据，可通过按账号、代码等条件筛选持仓，并提供汇总和明细两种方式查看持仓数据，默认展示明细数据。</w:t>
      </w:r>
    </w:p>
    <w:p w14:paraId="43678E59">
      <w:pPr>
        <w:numPr>
          <w:ilvl w:val="0"/>
          <w:numId w:val="0"/>
        </w:numPr>
        <w:ind w:leftChars="0"/>
        <w:jc w:val="left"/>
        <w:rPr>
          <w:rFonts w:hint="eastAsia" w:ascii="宋体" w:hAnsi="宋体" w:eastAsia="宋体" w:cs="宋体"/>
          <w:color w:val="000000"/>
          <w:sz w:val="21"/>
          <w:szCs w:val="21"/>
          <w:lang w:val="en-US" w:eastAsia="zh-CN"/>
        </w:rPr>
      </w:pPr>
      <w:r>
        <w:rPr>
          <w:rFonts w:hint="eastAsia" w:ascii="宋体" w:hAnsi="宋体" w:eastAsia="宋体" w:cs="宋体"/>
        </w:rPr>
        <w:drawing>
          <wp:inline distT="0" distB="0" distL="114300" distR="114300">
            <wp:extent cx="5271770" cy="1096645"/>
            <wp:effectExtent l="0" t="0" r="5080" b="8255"/>
            <wp:docPr id="19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59"/>
                    <pic:cNvPicPr>
                      <a:picLocks noChangeAspect="1"/>
                    </pic:cNvPicPr>
                  </pic:nvPicPr>
                  <pic:blipFill>
                    <a:blip r:embed="rId73"/>
                    <a:stretch>
                      <a:fillRect/>
                    </a:stretch>
                  </pic:blipFill>
                  <pic:spPr>
                    <a:xfrm>
                      <a:off x="0" y="0"/>
                      <a:ext cx="5271770" cy="1096645"/>
                    </a:xfrm>
                    <a:prstGeom prst="rect">
                      <a:avLst/>
                    </a:prstGeom>
                    <a:noFill/>
                    <a:ln>
                      <a:noFill/>
                    </a:ln>
                  </pic:spPr>
                </pic:pic>
              </a:graphicData>
            </a:graphic>
          </wp:inline>
        </w:drawing>
      </w:r>
    </w:p>
    <w:p w14:paraId="3670107C">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28"/>
          <w:szCs w:val="28"/>
          <w:lang w:val="en-US" w:eastAsia="zh-CN"/>
        </w:rPr>
      </w:pPr>
      <w:bookmarkStart w:id="23" w:name="_Toc24406"/>
      <w:r>
        <w:rPr>
          <w:rFonts w:hint="eastAsia" w:ascii="宋体" w:hAnsi="宋体" w:eastAsia="宋体" w:cs="宋体"/>
          <w:sz w:val="28"/>
          <w:szCs w:val="28"/>
          <w:lang w:val="en-US" w:eastAsia="zh-CN"/>
        </w:rPr>
        <w:t>套利交易</w:t>
      </w:r>
      <w:bookmarkEnd w:id="23"/>
    </w:p>
    <w:p w14:paraId="71F4CE4C">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24" w:name="_Toc31296"/>
      <w:r>
        <w:rPr>
          <w:rFonts w:hint="eastAsia" w:ascii="宋体" w:hAnsi="宋体" w:eastAsia="宋体" w:cs="宋体"/>
          <w:sz w:val="28"/>
          <w:szCs w:val="28"/>
          <w:lang w:val="en-US" w:eastAsia="zh-CN"/>
        </w:rPr>
        <w:t>套利雷达</w:t>
      </w:r>
      <w:bookmarkEnd w:id="24"/>
    </w:p>
    <w:p w14:paraId="0EA1B5F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套利雷达是对常见期货套利合约组合进行价差监控的智能工具，具体包括套利雷达监控界面和套利组合构建界面。</w:t>
      </w:r>
    </w:p>
    <w:p w14:paraId="272B14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套利雷达功能支持包含</w:t>
      </w:r>
      <w:r>
        <w:rPr>
          <w:rFonts w:hint="default" w:ascii="宋体" w:hAnsi="宋体" w:eastAsia="宋体" w:cs="宋体"/>
          <w:lang w:val="en-US" w:eastAsia="zh-CN"/>
        </w:rPr>
        <w:t>中金</w:t>
      </w:r>
      <w:r>
        <w:rPr>
          <w:rFonts w:hint="eastAsia" w:ascii="宋体" w:hAnsi="宋体" w:eastAsia="宋体" w:cs="宋体"/>
          <w:lang w:val="en-US" w:eastAsia="zh-CN"/>
        </w:rPr>
        <w:t>所、</w:t>
      </w:r>
      <w:r>
        <w:rPr>
          <w:rFonts w:hint="default" w:ascii="宋体" w:hAnsi="宋体" w:eastAsia="宋体" w:cs="宋体"/>
          <w:lang w:val="en-US" w:eastAsia="zh-CN"/>
        </w:rPr>
        <w:t>大商</w:t>
      </w:r>
      <w:r>
        <w:rPr>
          <w:rFonts w:hint="eastAsia" w:ascii="宋体" w:hAnsi="宋体" w:eastAsia="宋体" w:cs="宋体"/>
          <w:lang w:val="en-US" w:eastAsia="zh-CN"/>
        </w:rPr>
        <w:t>所、</w:t>
      </w:r>
      <w:r>
        <w:rPr>
          <w:rFonts w:hint="default" w:ascii="宋体" w:hAnsi="宋体" w:eastAsia="宋体" w:cs="宋体"/>
          <w:lang w:val="en-US" w:eastAsia="zh-CN"/>
        </w:rPr>
        <w:t>郑商</w:t>
      </w:r>
      <w:r>
        <w:rPr>
          <w:rFonts w:hint="eastAsia" w:ascii="宋体" w:hAnsi="宋体" w:eastAsia="宋体" w:cs="宋体"/>
          <w:lang w:val="en-US" w:eastAsia="zh-CN"/>
        </w:rPr>
        <w:t>所、</w:t>
      </w:r>
      <w:r>
        <w:rPr>
          <w:rFonts w:hint="default" w:ascii="宋体" w:hAnsi="宋体" w:eastAsia="宋体" w:cs="宋体"/>
          <w:lang w:val="en-US" w:eastAsia="zh-CN"/>
        </w:rPr>
        <w:t>上能源</w:t>
      </w:r>
      <w:r>
        <w:rPr>
          <w:rFonts w:hint="eastAsia" w:ascii="宋体" w:hAnsi="宋体" w:eastAsia="宋体" w:cs="宋体"/>
          <w:lang w:val="en-US" w:eastAsia="zh-CN"/>
        </w:rPr>
        <w:t>、</w:t>
      </w:r>
      <w:r>
        <w:rPr>
          <w:rFonts w:hint="default" w:ascii="宋体" w:hAnsi="宋体" w:eastAsia="宋体" w:cs="宋体"/>
          <w:lang w:val="en-US" w:eastAsia="zh-CN"/>
        </w:rPr>
        <w:t>上期</w:t>
      </w:r>
      <w:r>
        <w:rPr>
          <w:rFonts w:hint="eastAsia" w:ascii="宋体" w:hAnsi="宋体" w:eastAsia="宋体" w:cs="宋体"/>
          <w:lang w:val="en-US" w:eastAsia="zh-CN"/>
        </w:rPr>
        <w:t>所、</w:t>
      </w:r>
      <w:r>
        <w:rPr>
          <w:rFonts w:hint="default" w:ascii="宋体" w:hAnsi="宋体" w:eastAsia="宋体" w:cs="宋体"/>
          <w:lang w:val="en-US" w:eastAsia="zh-CN"/>
        </w:rPr>
        <w:t>广期</w:t>
      </w:r>
      <w:r>
        <w:rPr>
          <w:rFonts w:hint="eastAsia" w:ascii="宋体" w:hAnsi="宋体" w:eastAsia="宋体" w:cs="宋体"/>
          <w:lang w:val="en-US" w:eastAsia="zh-CN"/>
        </w:rPr>
        <w:t>所等六大交易所在内的所有期货品种任意组合，支持的套利类型包括：</w:t>
      </w:r>
    </w:p>
    <w:p w14:paraId="4DAC1605">
      <w:pP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rPr>
        <mc:AlternateContent>
          <mc:Choice Requires="wps">
            <w:drawing>
              <wp:anchor distT="0" distB="0" distL="114300" distR="114300" simplePos="0" relativeHeight="251682816" behindDoc="1" locked="0" layoutInCell="1" allowOverlap="1">
                <wp:simplePos x="0" y="0"/>
                <wp:positionH relativeFrom="page">
                  <wp:posOffset>1143000</wp:posOffset>
                </wp:positionH>
                <wp:positionV relativeFrom="paragraph">
                  <wp:posOffset>0</wp:posOffset>
                </wp:positionV>
                <wp:extent cx="6350" cy="6350"/>
                <wp:effectExtent l="0" t="0" r="0" b="0"/>
                <wp:wrapNone/>
                <wp:docPr id="23" name="Freeform 104"/>
                <wp:cNvGraphicFramePr/>
                <a:graphic xmlns:a="http://schemas.openxmlformats.org/drawingml/2006/main">
                  <a:graphicData uri="http://schemas.microsoft.com/office/word/2010/wordprocessingShape">
                    <wps:wsp>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04" o:spid="_x0000_s1026" o:spt="100" style="position:absolute;left:0pt;margin-left:90pt;margin-top:0pt;height:0.5pt;width:0.5pt;mso-position-horizontal-relative:page;z-index:-251633664;mso-width-relative:page;mso-height-relative:page;" fillcolor="#000000" filled="t" stroked="f" coordsize="6096,6096" o:gfxdata="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Cwt6bVAAAABgEAAA8AAAAAAAAAAQAgAAAAIgAAAGRycy9k&#10;b3ducmV2LnhtbFBLAQIUABQAAAAIAIdO4kCbkW2pPgIAAA8FAAAOAAAAAAAAAAEAIAAAACQBAABk&#10;cnMvZTJvRG9jLnhtbFBLBQYAAAAABgAGAFkBAADUBQAAAAA=&#10;" path="m0,6096l6096,6096,6096,0,0,0,0,6096xe">
                <v:fill on="t" focussize="0,0"/>
                <v:stroke on="f" weight="1pt" miterlimit="8" joinstyle="miter"/>
                <v:imagedata o:title=""/>
                <o:lock v:ext="edit" aspectratio="f"/>
              </v:shape>
            </w:pict>
          </mc:Fallback>
        </mc:AlternateContent>
      </w:r>
      <w:r>
        <w:rPr>
          <w:rFonts w:hint="eastAsia" w:ascii="宋体" w:hAnsi="宋体" w:eastAsia="宋体" w:cs="宋体"/>
        </w:rPr>
        <mc:AlternateContent>
          <mc:Choice Requires="wps">
            <w:drawing>
              <wp:anchor distT="0" distB="0" distL="114300" distR="114300" simplePos="0" relativeHeight="251681792" behindDoc="1" locked="0" layoutInCell="1" allowOverlap="1">
                <wp:simplePos x="0" y="0"/>
                <wp:positionH relativeFrom="page">
                  <wp:posOffset>1143000</wp:posOffset>
                </wp:positionH>
                <wp:positionV relativeFrom="paragraph">
                  <wp:posOffset>0</wp:posOffset>
                </wp:positionV>
                <wp:extent cx="6350" cy="6350"/>
                <wp:effectExtent l="0" t="0" r="0" b="0"/>
                <wp:wrapNone/>
                <wp:docPr id="27" name="Freeform 105"/>
                <wp:cNvGraphicFramePr/>
                <a:graphic xmlns:a="http://schemas.openxmlformats.org/drawingml/2006/main">
                  <a:graphicData uri="http://schemas.microsoft.com/office/word/2010/wordprocessingShape">
                    <wps:wsp>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05" o:spid="_x0000_s1026" o:spt="100" style="position:absolute;left:0pt;margin-left:90pt;margin-top:0pt;height:0.5pt;width:0.5pt;mso-position-horizontal-relative:page;z-index:-251634688;mso-width-relative:page;mso-height-relative:page;" fillcolor="#000000" filled="t" stroked="f" coordsize="6096,6096" o:gfxdata="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LC3ptUAAAAGAQAADwAAAAAAAAABACAAAAAiAAAAZHJzL2Rv&#10;d25yZXYueG1sUEsBAhQAFAAAAAgAh07iQMU2fLM9AgAADwUAAA4AAAAAAAAAAQAgAAAAJAEAAGRy&#10;cy9lMm9Eb2MueG1sUEsFBgAAAAAGAAYAWQEAANMFAAAAAA==&#10;" path="m0,6096l6096,6096,6096,0,0,0,0,6096xe">
                <v:fill on="t" focussize="0,0"/>
                <v:stroke on="f" weight="1pt" miterlimit="8" joinstyle="miter"/>
                <v:imagedata o:title=""/>
                <o:lock v:ext="edit" aspectratio="f"/>
              </v:shape>
            </w:pict>
          </mc:Fallback>
        </mc:AlternateContent>
      </w:r>
      <w:r>
        <w:rPr>
          <w:rFonts w:hint="eastAsia" w:ascii="宋体" w:hAnsi="宋体" w:eastAsia="宋体" w:cs="宋体"/>
        </w:rPr>
        <mc:AlternateContent>
          <mc:Choice Requires="wps">
            <w:drawing>
              <wp:anchor distT="0" distB="0" distL="114300" distR="114300" simplePos="0" relativeHeight="251683840" behindDoc="1" locked="0" layoutInCell="1" allowOverlap="1">
                <wp:simplePos x="0" y="0"/>
                <wp:positionH relativeFrom="page">
                  <wp:posOffset>1950720</wp:posOffset>
                </wp:positionH>
                <wp:positionV relativeFrom="paragraph">
                  <wp:posOffset>0</wp:posOffset>
                </wp:positionV>
                <wp:extent cx="6350" cy="6350"/>
                <wp:effectExtent l="0" t="0" r="0" b="0"/>
                <wp:wrapNone/>
                <wp:docPr id="28" name="Freeform 106"/>
                <wp:cNvGraphicFramePr/>
                <a:graphic xmlns:a="http://schemas.openxmlformats.org/drawingml/2006/main">
                  <a:graphicData uri="http://schemas.microsoft.com/office/word/2010/wordprocessingShape">
                    <wps:wsp>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06" o:spid="_x0000_s1026" o:spt="100" style="position:absolute;left:0pt;margin-left:153.6pt;margin-top:0pt;height:0.5pt;width:0.5pt;mso-position-horizontal-relative:page;z-index:-251632640;mso-width-relative:page;mso-height-relative:page;" fillcolor="#000000" filled="t" stroked="f" coordsize="6096,6096" o:gfxdata="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AUHw/WAAAABgEAAA8AAAAAAAAAAQAgAAAAIgAAAGRycy9k&#10;b3ducmV2LnhtbFBLAQIUABQAAAAIAIdO4kC+EE05PQIAAA8FAAAOAAAAAAAAAAEAIAAAACUBAABk&#10;cnMvZTJvRG9jLnhtbFBLBQYAAAAABgAGAFkBAADUBQAAAAA=&#10;" path="m0,6096l6096,6096,6096,0,0,0,0,6096xe">
                <v:fill on="t" focussize="0,0"/>
                <v:stroke on="f" weight="1pt" miterlimit="8" joinstyle="miter"/>
                <v:imagedata o:title=""/>
                <o:lock v:ext="edit" aspectratio="f"/>
              </v:shape>
            </w:pict>
          </mc:Fallback>
        </mc:AlternateContent>
      </w:r>
      <w:r>
        <w:rPr>
          <w:rFonts w:hint="eastAsia" w:ascii="宋体" w:hAnsi="宋体" w:eastAsia="宋体" w:cs="宋体"/>
        </w:rPr>
        <mc:AlternateContent>
          <mc:Choice Requires="wps">
            <w:drawing>
              <wp:anchor distT="0" distB="0" distL="114300" distR="114300" simplePos="0" relativeHeight="251685888" behindDoc="1" locked="0" layoutInCell="1" allowOverlap="1">
                <wp:simplePos x="0" y="0"/>
                <wp:positionH relativeFrom="page">
                  <wp:posOffset>3301365</wp:posOffset>
                </wp:positionH>
                <wp:positionV relativeFrom="paragraph">
                  <wp:posOffset>0</wp:posOffset>
                </wp:positionV>
                <wp:extent cx="6350" cy="6350"/>
                <wp:effectExtent l="0" t="0" r="0" b="0"/>
                <wp:wrapNone/>
                <wp:docPr id="29" name="Freeform 107"/>
                <wp:cNvGraphicFramePr/>
                <a:graphic xmlns:a="http://schemas.openxmlformats.org/drawingml/2006/main">
                  <a:graphicData uri="http://schemas.microsoft.com/office/word/2010/wordprocessingShape">
                    <wps:wsp>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07" o:spid="_x0000_s1026" o:spt="100" style="position:absolute;left:0pt;margin-left:259.95pt;margin-top:0pt;height:0.5pt;width:0.5pt;mso-position-horizontal-relative:page;z-index:-251630592;mso-width-relative:page;mso-height-relative:page;" fillcolor="#000000" filled="t" stroked="f" coordsize="6096,6096" o:gfxdata="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VG1/TWAAAABgEAAA8AAAAAAAAAAQAgAAAAIgAAAGRycy9k&#10;b3ducmV2LnhtbFBLAQIUABQAAAAIAIdO4kAK4SkUPQIAAA8FAAAOAAAAAAAAAAEAIAAAACUBAABk&#10;cnMvZTJvRG9jLnhtbFBLBQYAAAAABgAGAFkBAADUBQAAAAA=&#10;" path="m0,6096l6096,6096,6096,0,0,0,0,6096xe">
                <v:fill on="t" focussize="0,0"/>
                <v:stroke on="f" weight="1pt" miterlimit="8" joinstyle="miter"/>
                <v:imagedata o:title=""/>
                <o:lock v:ext="edit" aspectratio="f"/>
              </v:shape>
            </w:pict>
          </mc:Fallback>
        </mc:AlternateContent>
      </w:r>
      <w:r>
        <w:rPr>
          <w:rFonts w:hint="eastAsia" w:ascii="宋体" w:hAnsi="宋体" w:eastAsia="宋体" w:cs="宋体"/>
        </w:rPr>
        <mc:AlternateContent>
          <mc:Choice Requires="wps">
            <w:drawing>
              <wp:anchor distT="0" distB="0" distL="114300" distR="114300" simplePos="0" relativeHeight="251687936" behindDoc="1" locked="0" layoutInCell="1" allowOverlap="1">
                <wp:simplePos x="0" y="0"/>
                <wp:positionH relativeFrom="page">
                  <wp:posOffset>4544060</wp:posOffset>
                </wp:positionH>
                <wp:positionV relativeFrom="paragraph">
                  <wp:posOffset>0</wp:posOffset>
                </wp:positionV>
                <wp:extent cx="6350" cy="6350"/>
                <wp:effectExtent l="0" t="0" r="0" b="0"/>
                <wp:wrapNone/>
                <wp:docPr id="30" name="Freeform 108"/>
                <wp:cNvGraphicFramePr/>
                <a:graphic xmlns:a="http://schemas.openxmlformats.org/drawingml/2006/main">
                  <a:graphicData uri="http://schemas.microsoft.com/office/word/2010/wordprocessingShape">
                    <wps:wsp>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08" o:spid="_x0000_s1026" o:spt="100" style="position:absolute;left:0pt;margin-left:357.8pt;margin-top:0pt;height:0.5pt;width:0.5pt;mso-position-horizontal-relative:page;z-index:-251628544;mso-width-relative:page;mso-height-relative:page;" fillcolor="#000000" filled="t" stroked="f" coordsize="6096,6096" o:gfxdata="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8CGbdYAAAAGAQAADwAAAAAAAAABACAAAAAiAAAAZHJzL2Rv&#10;d25yZXYueG1sUEsBAhQAFAAAAAgAh07iQHHA5Y08AgAADwUAAA4AAAAAAAAAAQAgAAAAJQEAAGRy&#10;cy9lMm9Eb2MueG1sUEsFBgAAAAAGAAYAWQEAANMFAAAAAA==&#10;" path="m0,6096l6096,6096,6096,0,0,0,0,6096xe">
                <v:fill on="t" focussize="0,0"/>
                <v:stroke on="f" weight="1pt" miterlimit="8" joinstyle="miter"/>
                <v:imagedata o:title=""/>
                <o:lock v:ext="edit" aspectratio="f"/>
              </v:shape>
            </w:pict>
          </mc:Fallback>
        </mc:AlternateContent>
      </w:r>
      <w:r>
        <w:rPr>
          <w:rFonts w:hint="eastAsia" w:ascii="宋体" w:hAnsi="宋体" w:eastAsia="宋体" w:cs="宋体"/>
        </w:rPr>
        <mc:AlternateContent>
          <mc:Choice Requires="wps">
            <w:drawing>
              <wp:anchor distT="0" distB="0" distL="114300" distR="114300" simplePos="0" relativeHeight="251689984" behindDoc="1" locked="0" layoutInCell="1" allowOverlap="1">
                <wp:simplePos x="0" y="0"/>
                <wp:positionH relativeFrom="page">
                  <wp:posOffset>6412865</wp:posOffset>
                </wp:positionH>
                <wp:positionV relativeFrom="paragraph">
                  <wp:posOffset>0</wp:posOffset>
                </wp:positionV>
                <wp:extent cx="6350" cy="6350"/>
                <wp:effectExtent l="0" t="0" r="0" b="0"/>
                <wp:wrapNone/>
                <wp:docPr id="31" name="Freeform 109"/>
                <wp:cNvGraphicFramePr/>
                <a:graphic xmlns:a="http://schemas.openxmlformats.org/drawingml/2006/main">
                  <a:graphicData uri="http://schemas.microsoft.com/office/word/2010/wordprocessingShape">
                    <wps:wsp>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09" o:spid="_x0000_s1026" o:spt="100" style="position:absolute;left:0pt;margin-left:504.95pt;margin-top:0pt;height:0.5pt;width:0.5pt;mso-position-horizontal-relative:page;z-index:-251626496;mso-width-relative:page;mso-height-relative:page;" fillcolor="#000000" filled="t" stroked="f" coordsize="6096,6096" o:gfxdata="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ebA+t1gAAAAgBAAAPAAAAAAAAAAEAIAAAACIAAABkcnMv&#10;ZG93bnJldi54bWxQSwECFAAUAAAACACHTuJAxTGBoD4CAAAPBQAADgAAAAAAAAABACAAAAAlAQAA&#10;ZHJzL2Uyb0RvYy54bWxQSwUGAAAAAAYABgBZAQAA1QUAAAAA&#10;" path="m0,6096l6096,6096,6096,0,0,0,0,6096xe">
                <v:fill on="t" focussize="0,0"/>
                <v:stroke on="f" weight="1pt" miterlimit="8" joinstyle="miter"/>
                <v:imagedata o:title=""/>
                <o:lock v:ext="edit" aspectratio="f"/>
              </v:shape>
            </w:pict>
          </mc:Fallback>
        </mc:AlternateContent>
      </w:r>
      <w:r>
        <w:rPr>
          <w:rFonts w:hint="eastAsia" w:ascii="宋体" w:hAnsi="宋体" w:eastAsia="宋体" w:cs="宋体"/>
        </w:rPr>
        <mc:AlternateContent>
          <mc:Choice Requires="wps">
            <w:drawing>
              <wp:anchor distT="0" distB="0" distL="114300" distR="114300" simplePos="0" relativeHeight="251688960" behindDoc="1" locked="0" layoutInCell="1" allowOverlap="1">
                <wp:simplePos x="0" y="0"/>
                <wp:positionH relativeFrom="page">
                  <wp:posOffset>6412865</wp:posOffset>
                </wp:positionH>
                <wp:positionV relativeFrom="paragraph">
                  <wp:posOffset>0</wp:posOffset>
                </wp:positionV>
                <wp:extent cx="6350" cy="6350"/>
                <wp:effectExtent l="0" t="0" r="0" b="0"/>
                <wp:wrapNone/>
                <wp:docPr id="32" name="Freeform 110"/>
                <wp:cNvGraphicFramePr/>
                <a:graphic xmlns:a="http://schemas.openxmlformats.org/drawingml/2006/main">
                  <a:graphicData uri="http://schemas.microsoft.com/office/word/2010/wordprocessingShape">
                    <wps:wsp>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10" o:spid="_x0000_s1026" o:spt="100" style="position:absolute;left:0pt;margin-left:504.95pt;margin-top:0pt;height:0.5pt;width:0.5pt;mso-position-horizontal-relative:page;z-index:-251627520;mso-width-relative:page;mso-height-relative:page;" fillcolor="#000000" filled="t" stroked="f" coordsize="6096,6096" o:gfxdata="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ebA+t1gAAAAgBAAAPAAAAAAAAAAEAIAAAACIAAABkcnMvZG93&#10;bnJldi54bWxQSwECFAAUAAAACACHTuJAxRKq5zsCAAAPBQAADgAAAAAAAAABACAAAAAlAQAAZHJz&#10;L2Uyb0RvYy54bWxQSwUGAAAAAAYABgBZAQAA0gUAAAAA&#10;" path="m0,6096l6096,6096,6096,0,0,0,0,6096xe">
                <v:fill on="t" focussize="0,0"/>
                <v:stroke on="f" weight="1pt" miterlimit="8" joinstyle="miter"/>
                <v:imagedata o:title=""/>
                <o:lock v:ext="edit" aspectratio="f"/>
              </v:shape>
            </w:pict>
          </mc:Fallback>
        </mc:AlternateContent>
      </w:r>
    </w:p>
    <w:tbl>
      <w:tblPr>
        <w:tblStyle w:val="20"/>
        <w:tblpPr w:vertAnchor="text" w:horzAnchor="page" w:tblpXSpec="center" w:tblpY="-270"/>
        <w:tblOverlap w:val="never"/>
        <w:tblW w:w="80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03"/>
        <w:gridCol w:w="2992"/>
        <w:gridCol w:w="3613"/>
      </w:tblGrid>
      <w:tr w14:paraId="1676B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jc w:val="center"/>
        </w:trPr>
        <w:tc>
          <w:tcPr>
            <w:tcW w:w="1403" w:type="dxa"/>
          </w:tcPr>
          <w:p w14:paraId="08050922">
            <w:pPr>
              <w:ind w:left="83"/>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类型</w:t>
            </w:r>
          </w:p>
        </w:tc>
        <w:tc>
          <w:tcPr>
            <w:tcW w:w="2992" w:type="dxa"/>
          </w:tcPr>
          <w:p w14:paraId="245CD93F">
            <w:pPr>
              <w:ind w:firstLine="113"/>
              <w:jc w:val="center"/>
              <w:rPr>
                <w:rFonts w:hint="eastAsia" w:ascii="宋体" w:hAnsi="宋体" w:eastAsia="宋体" w:cs="宋体"/>
                <w:b/>
                <w:bCs/>
                <w:color w:val="000000"/>
                <w:sz w:val="21"/>
                <w:szCs w:val="21"/>
                <w:u w:val="none"/>
                <w:lang w:val="en-US" w:eastAsia="zh-CN"/>
              </w:rPr>
            </w:pPr>
            <w:r>
              <w:rPr>
                <w:rFonts w:hint="eastAsia" w:ascii="宋体" w:hAnsi="宋体" w:eastAsia="宋体" w:cs="宋体"/>
                <w:b/>
                <w:bCs/>
                <w:color w:val="000000"/>
                <w:sz w:val="21"/>
                <w:szCs w:val="21"/>
                <w:u w:val="none"/>
                <w:lang w:val="en-US" w:eastAsia="zh-CN"/>
              </w:rPr>
              <w:t>说明</w:t>
            </w:r>
          </w:p>
        </w:tc>
        <w:tc>
          <w:tcPr>
            <w:tcW w:w="3613" w:type="dxa"/>
          </w:tcPr>
          <w:p w14:paraId="4F913C94">
            <w:pPr>
              <w:ind w:firstLine="113"/>
              <w:jc w:val="center"/>
              <w:rPr>
                <w:rFonts w:hint="eastAsia" w:ascii="宋体" w:hAnsi="宋体" w:eastAsia="宋体" w:cs="宋体"/>
                <w:b/>
                <w:bCs/>
                <w:color w:val="000000"/>
                <w:sz w:val="21"/>
                <w:szCs w:val="21"/>
                <w:u w:val="none"/>
                <w:lang w:val="en-US" w:eastAsia="zh-CN"/>
              </w:rPr>
            </w:pPr>
            <w:r>
              <w:rPr>
                <w:rFonts w:hint="eastAsia" w:ascii="宋体" w:hAnsi="宋体" w:eastAsia="宋体" w:cs="宋体"/>
                <w:b/>
                <w:bCs/>
                <w:color w:val="000000"/>
                <w:sz w:val="21"/>
                <w:szCs w:val="21"/>
                <w:u w:val="none"/>
                <w:lang w:val="en-US" w:eastAsia="zh-CN"/>
              </w:rPr>
              <w:t>举例</w:t>
            </w:r>
          </w:p>
        </w:tc>
      </w:tr>
      <w:tr w14:paraId="2625A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jc w:val="center"/>
        </w:trPr>
        <w:tc>
          <w:tcPr>
            <w:tcW w:w="1403" w:type="dxa"/>
          </w:tcPr>
          <w:p w14:paraId="5DD58A77">
            <w:pPr>
              <w:ind w:left="83"/>
              <w:jc w:val="center"/>
              <w:rPr>
                <w:rFonts w:hint="eastAsia" w:ascii="宋体" w:hAnsi="宋体" w:eastAsia="宋体" w:cs="宋体"/>
                <w:color w:val="010302"/>
              </w:rPr>
            </w:pPr>
            <w:r>
              <w:rPr>
                <w:rFonts w:hint="eastAsia" w:ascii="宋体" w:hAnsi="宋体" w:eastAsia="宋体" w:cs="宋体"/>
                <w:color w:val="000000"/>
                <w:sz w:val="21"/>
                <w:szCs w:val="21"/>
                <w:lang w:eastAsia="zh-CN"/>
              </w:rPr>
              <w:t>跨期套利</w:t>
            </w:r>
          </w:p>
        </w:tc>
        <w:tc>
          <w:tcPr>
            <w:tcW w:w="2992" w:type="dxa"/>
          </w:tcPr>
          <w:p w14:paraId="642DF076">
            <w:pPr>
              <w:ind w:firstLine="113"/>
              <w:jc w:val="center"/>
              <w:rPr>
                <w:rFonts w:hint="eastAsia" w:ascii="宋体" w:hAnsi="宋体" w:eastAsia="宋体" w:cs="宋体"/>
                <w:color w:val="010302"/>
              </w:rPr>
            </w:pPr>
            <w:r>
              <w:rPr>
                <w:rFonts w:hint="eastAsia" w:ascii="宋体" w:hAnsi="宋体" w:eastAsia="宋体" w:cs="宋体"/>
                <w:color w:val="000000"/>
                <w:sz w:val="21"/>
                <w:szCs w:val="21"/>
                <w:u w:val="none"/>
                <w:lang w:eastAsia="zh-CN"/>
              </w:rPr>
              <w:t>相同合约不同月份</w:t>
            </w:r>
          </w:p>
        </w:tc>
        <w:tc>
          <w:tcPr>
            <w:tcW w:w="3613" w:type="dxa"/>
          </w:tcPr>
          <w:p w14:paraId="516EDB06">
            <w:pPr>
              <w:ind w:firstLine="113"/>
              <w:jc w:val="center"/>
              <w:rPr>
                <w:rFonts w:hint="eastAsia" w:ascii="宋体" w:hAnsi="宋体" w:eastAsia="宋体" w:cs="宋体"/>
                <w:color w:val="010302"/>
              </w:rPr>
            </w:pPr>
            <w:r>
              <w:rPr>
                <w:rFonts w:hint="eastAsia" w:ascii="宋体" w:hAnsi="宋体" w:eastAsia="宋体" w:cs="宋体"/>
                <w:color w:val="000000"/>
                <w:sz w:val="21"/>
                <w:szCs w:val="21"/>
                <w:u w:val="none"/>
                <w:lang w:eastAsia="zh-CN"/>
              </w:rPr>
              <w:t>例：银2407-银2409</w:t>
            </w:r>
          </w:p>
        </w:tc>
      </w:tr>
      <w:tr w14:paraId="6942E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1403" w:type="dxa"/>
          </w:tcPr>
          <w:p w14:paraId="0D5ABC01">
            <w:pPr>
              <w:ind w:left="83"/>
              <w:jc w:val="center"/>
              <w:rPr>
                <w:rFonts w:hint="eastAsia" w:ascii="宋体" w:hAnsi="宋体" w:eastAsia="宋体" w:cs="宋体"/>
                <w:color w:val="010302"/>
              </w:rPr>
            </w:pPr>
            <w:r>
              <w:rPr>
                <w:rFonts w:hint="eastAsia" w:ascii="宋体" w:hAnsi="宋体" w:eastAsia="宋体" w:cs="宋体"/>
                <w:color w:val="000000"/>
                <w:sz w:val="21"/>
                <w:szCs w:val="21"/>
                <w:lang w:eastAsia="zh-CN"/>
              </w:rPr>
              <w:t>跨品种套利</w:t>
            </w:r>
          </w:p>
        </w:tc>
        <w:tc>
          <w:tcPr>
            <w:tcW w:w="2992" w:type="dxa"/>
          </w:tcPr>
          <w:p w14:paraId="6CEB3C77">
            <w:pPr>
              <w:ind w:firstLine="113"/>
              <w:jc w:val="center"/>
              <w:rPr>
                <w:rFonts w:hint="eastAsia" w:ascii="宋体" w:hAnsi="宋体" w:eastAsia="宋体" w:cs="宋体"/>
                <w:color w:val="010302"/>
                <w:lang w:eastAsia="zh-CN"/>
              </w:rPr>
            </w:pPr>
            <w:r>
              <w:rPr>
                <w:rFonts w:hint="eastAsia" w:ascii="宋体" w:hAnsi="宋体" w:eastAsia="宋体" w:cs="宋体"/>
                <w:color w:val="000000"/>
                <w:sz w:val="21"/>
                <w:szCs w:val="21"/>
                <w:lang w:eastAsia="zh-CN"/>
              </w:rPr>
              <w:t>互补性强的品种之间套利</w:t>
            </w:r>
          </w:p>
        </w:tc>
        <w:tc>
          <w:tcPr>
            <w:tcW w:w="3613" w:type="dxa"/>
          </w:tcPr>
          <w:p w14:paraId="7ADEE8A9">
            <w:pPr>
              <w:ind w:firstLine="113"/>
              <w:jc w:val="center"/>
              <w:rPr>
                <w:rFonts w:hint="eastAsia" w:ascii="宋体" w:hAnsi="宋体" w:eastAsia="宋体" w:cs="宋体"/>
                <w:color w:val="010302"/>
              </w:rPr>
            </w:pPr>
            <w:r>
              <w:rPr>
                <w:rFonts w:hint="eastAsia" w:ascii="宋体" w:hAnsi="宋体" w:eastAsia="宋体" w:cs="宋体"/>
                <w:color w:val="000000"/>
                <w:sz w:val="21"/>
                <w:szCs w:val="21"/>
                <w:lang w:eastAsia="zh-CN"/>
              </w:rPr>
              <w:t>例：玉米</w:t>
            </w:r>
            <w:r>
              <w:rPr>
                <w:rFonts w:hint="eastAsia" w:ascii="宋体" w:hAnsi="宋体" w:eastAsia="宋体" w:cs="宋体"/>
                <w:color w:val="000000"/>
                <w:sz w:val="21"/>
                <w:szCs w:val="21"/>
              </w:rPr>
              <w:t>2407-</w:t>
            </w:r>
            <w:r>
              <w:rPr>
                <w:rFonts w:hint="eastAsia" w:ascii="宋体" w:hAnsi="宋体" w:eastAsia="宋体" w:cs="宋体"/>
                <w:color w:val="000000"/>
                <w:sz w:val="21"/>
                <w:szCs w:val="21"/>
                <w:lang w:eastAsia="zh-CN"/>
              </w:rPr>
              <w:t>玉米淀粉</w:t>
            </w:r>
            <w:r>
              <w:rPr>
                <w:rFonts w:hint="eastAsia" w:ascii="宋体" w:hAnsi="宋体" w:eastAsia="宋体" w:cs="宋体"/>
                <w:color w:val="000000"/>
                <w:sz w:val="21"/>
                <w:szCs w:val="21"/>
              </w:rPr>
              <w:t>2407</w:t>
            </w:r>
          </w:p>
        </w:tc>
      </w:tr>
      <w:tr w14:paraId="5B2A9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403" w:type="dxa"/>
          </w:tcPr>
          <w:p w14:paraId="21E7026F">
            <w:pPr>
              <w:ind w:left="83"/>
              <w:jc w:val="center"/>
              <w:rPr>
                <w:rFonts w:hint="eastAsia" w:ascii="宋体" w:hAnsi="宋体" w:eastAsia="宋体" w:cs="宋体"/>
                <w:color w:val="010302"/>
              </w:rPr>
            </w:pPr>
            <w:r>
              <w:rPr>
                <w:rFonts w:hint="eastAsia" w:ascii="宋体" w:hAnsi="宋体" w:eastAsia="宋体" w:cs="宋体"/>
                <w:color w:val="000000"/>
                <w:sz w:val="21"/>
                <w:szCs w:val="21"/>
                <w:lang w:eastAsia="zh-CN"/>
              </w:rPr>
              <w:t>跨市场套利</w:t>
            </w:r>
          </w:p>
        </w:tc>
        <w:tc>
          <w:tcPr>
            <w:tcW w:w="2992" w:type="dxa"/>
          </w:tcPr>
          <w:p w14:paraId="36550F0D">
            <w:pPr>
              <w:ind w:firstLine="113"/>
              <w:jc w:val="center"/>
              <w:rPr>
                <w:rFonts w:hint="eastAsia" w:ascii="宋体" w:hAnsi="宋体" w:eastAsia="宋体" w:cs="宋体"/>
                <w:color w:val="010302"/>
                <w:lang w:eastAsia="zh-CN"/>
              </w:rPr>
            </w:pPr>
            <w:r>
              <w:rPr>
                <w:rFonts w:hint="eastAsia" w:ascii="宋体" w:hAnsi="宋体" w:eastAsia="宋体" w:cs="宋体"/>
                <w:color w:val="000000"/>
                <w:sz w:val="21"/>
                <w:szCs w:val="21"/>
                <w:u w:val="none"/>
                <w:lang w:eastAsia="zh-CN"/>
              </w:rPr>
              <w:t>不同交易市场之间的套利</w:t>
            </w:r>
          </w:p>
        </w:tc>
        <w:tc>
          <w:tcPr>
            <w:tcW w:w="3613" w:type="dxa"/>
          </w:tcPr>
          <w:p w14:paraId="782F3E6F">
            <w:pPr>
              <w:ind w:firstLine="113"/>
              <w:jc w:val="center"/>
              <w:rPr>
                <w:rFonts w:hint="eastAsia" w:ascii="宋体" w:hAnsi="宋体" w:eastAsia="宋体" w:cs="宋体"/>
                <w:color w:val="010302"/>
                <w:lang w:eastAsia="zh-CN"/>
              </w:rPr>
            </w:pPr>
            <w:r>
              <w:rPr>
                <w:rFonts w:hint="eastAsia" w:ascii="宋体" w:hAnsi="宋体" w:eastAsia="宋体" w:cs="宋体"/>
                <w:color w:val="000000"/>
                <w:sz w:val="21"/>
                <w:szCs w:val="21"/>
                <w:u w:val="none"/>
                <w:lang w:eastAsia="zh-CN"/>
              </w:rPr>
              <w:t>例：豆油2409-菜籽油2409</w:t>
            </w:r>
          </w:p>
        </w:tc>
      </w:tr>
    </w:tbl>
    <w:p w14:paraId="20A075B3">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套利组合构建</w:t>
      </w:r>
    </w:p>
    <w:p w14:paraId="592229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lang w:val="en-US" w:eastAsia="zh-CN"/>
        </w:rPr>
      </w:pPr>
      <w:r>
        <w:rPr>
          <w:rFonts w:hint="eastAsia" w:ascii="宋体" w:hAnsi="宋体" w:eastAsia="宋体" w:cs="宋体"/>
          <w:lang w:val="en-US" w:eastAsia="zh-CN"/>
        </w:rPr>
        <w:t>自选套利组合中会展示系统默认推荐的套利组合，支持构建新的套利组合，删除、修改已插入的套利组合。</w:t>
      </w:r>
    </w:p>
    <w:p w14:paraId="7289C9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lang w:val="en-US" w:eastAsia="zh-CN"/>
        </w:rPr>
      </w:pPr>
      <w:r>
        <w:rPr>
          <w:rFonts w:hint="eastAsia" w:ascii="宋体" w:hAnsi="宋体" w:eastAsia="宋体" w:cs="宋体"/>
          <w:b/>
          <w:bCs/>
          <w:lang w:val="en-US" w:eastAsia="zh-CN"/>
        </w:rPr>
        <w:t>套利组合构建：</w:t>
      </w:r>
      <w:r>
        <w:rPr>
          <w:rFonts w:hint="eastAsia" w:ascii="宋体" w:hAnsi="宋体" w:eastAsia="宋体" w:cs="宋体"/>
          <w:lang w:val="en-US" w:eastAsia="zh-CN"/>
        </w:rPr>
        <w:t>首先选择套利类型后，套利组合会出现当前推荐的组合类型，选定套利组合后，合约A和合约B分别展示选中标的组合对应月份的合约列表（已标记主力合约），选择具体标的后，下方展示所推荐的基差公式，例如：A.最新价-B.最新价，阈值数值默认为计算值*(1±20%)，可自定义数值。设置完阈值后点击插入，即可添加进自选套利组合中，组合选中后支持删除组合和修改阈值。</w:t>
      </w:r>
    </w:p>
    <w:p w14:paraId="41B49C3E">
      <w:pPr>
        <w:rPr>
          <w:rFonts w:hint="eastAsia" w:ascii="宋体" w:hAnsi="宋体" w:eastAsia="宋体" w:cs="宋体"/>
        </w:rPr>
      </w:pPr>
      <w:r>
        <w:drawing>
          <wp:inline distT="0" distB="0" distL="114300" distR="114300">
            <wp:extent cx="5266690" cy="2830830"/>
            <wp:effectExtent l="0" t="0" r="10160" b="762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74"/>
                    <a:stretch>
                      <a:fillRect/>
                    </a:stretch>
                  </pic:blipFill>
                  <pic:spPr>
                    <a:xfrm>
                      <a:off x="0" y="0"/>
                      <a:ext cx="5266690" cy="2830830"/>
                    </a:xfrm>
                    <a:prstGeom prst="rect">
                      <a:avLst/>
                    </a:prstGeom>
                    <a:noFill/>
                    <a:ln>
                      <a:noFill/>
                    </a:ln>
                  </pic:spPr>
                </pic:pic>
              </a:graphicData>
            </a:graphic>
          </wp:inline>
        </w:drawing>
      </w:r>
    </w:p>
    <w:p w14:paraId="624FF5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lang w:val="en-US" w:eastAsia="zh-CN"/>
        </w:rPr>
      </w:pPr>
      <w:r>
        <w:rPr>
          <w:rFonts w:hint="eastAsia" w:ascii="宋体" w:hAnsi="宋体" w:eastAsia="宋体" w:cs="宋体"/>
          <w:b/>
          <w:bCs/>
          <w:lang w:val="en-US" w:eastAsia="zh-CN"/>
        </w:rPr>
        <w:t>基差公式</w:t>
      </w:r>
      <w:r>
        <w:rPr>
          <w:rFonts w:hint="eastAsia" w:ascii="宋体" w:hAnsi="宋体" w:eastAsia="宋体" w:cs="宋体"/>
          <w:lang w:val="en-US" w:eastAsia="zh-CN"/>
        </w:rPr>
        <w:t>：支持小数和整数，委托价支持买一价，卖一价，最新价，买方盘口均价（盘口深度N档加权平均价），卖方盘口均价（盘口深度N档加权平均价）及特定符号（加，减，乘，除，括号和实行点号），输入方式为“标的序号.价格类型”，例如：A.最新价-B.最新价*1.5/2。</w:t>
      </w:r>
    </w:p>
    <w:p w14:paraId="2C5389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lang w:val="en-US" w:eastAsia="zh-CN"/>
        </w:rPr>
      </w:pPr>
      <w:r>
        <w:rPr>
          <w:rFonts w:hint="eastAsia" w:ascii="宋体" w:hAnsi="宋体" w:eastAsia="宋体" w:cs="宋体"/>
          <w:b/>
          <w:bCs/>
          <w:lang w:val="en-US" w:eastAsia="zh-CN"/>
        </w:rPr>
        <w:t>方向</w:t>
      </w:r>
      <w:r>
        <w:rPr>
          <w:rFonts w:hint="eastAsia" w:ascii="宋体" w:hAnsi="宋体" w:eastAsia="宋体" w:cs="宋体"/>
          <w:lang w:val="en-US" w:eastAsia="zh-CN"/>
        </w:rPr>
        <w:t>：方向为选择框，提供“＞，≥，＝，＜，≤” 5个选项。</w:t>
      </w:r>
    </w:p>
    <w:p w14:paraId="24C0C3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lang w:val="en-US" w:eastAsia="zh-CN"/>
        </w:rPr>
      </w:pPr>
      <w:r>
        <w:rPr>
          <w:rFonts w:hint="eastAsia" w:ascii="宋体" w:hAnsi="宋体" w:eastAsia="宋体" w:cs="宋体"/>
          <w:b/>
          <w:bCs/>
          <w:lang w:val="en-US" w:eastAsia="zh-CN"/>
        </w:rPr>
        <w:t>阈值</w:t>
      </w:r>
      <w:r>
        <w:rPr>
          <w:rFonts w:hint="eastAsia" w:ascii="宋体" w:hAnsi="宋体" w:eastAsia="宋体" w:cs="宋体"/>
          <w:lang w:val="en-US" w:eastAsia="zh-CN"/>
        </w:rPr>
        <w:t>：整数位需小于等于11位，小数位需小于等于4位。</w:t>
      </w:r>
    </w:p>
    <w:p w14:paraId="048540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基差公式下方提示：</w:t>
      </w:r>
    </w:p>
    <w:p w14:paraId="096EE9C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输入基差公式后点击“刷新”按钮可查看推荐阈值。</w:t>
      </w:r>
    </w:p>
    <w:p w14:paraId="10C259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当基差公式中分母为0时，不计算基差值，没有默认推荐阈值，不会触发阈值。</w:t>
      </w:r>
    </w:p>
    <w:p w14:paraId="11CDE4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default" w:ascii="宋体" w:hAnsi="宋体" w:eastAsia="宋体" w:cs="宋体"/>
          <w:lang w:val="en-US" w:eastAsia="zh-CN"/>
        </w:rPr>
      </w:pPr>
      <w:r>
        <w:rPr>
          <w:rFonts w:hint="eastAsia" w:ascii="宋体" w:hAnsi="宋体" w:eastAsia="宋体" w:cs="宋体"/>
          <w:b/>
          <w:bCs/>
          <w:lang w:val="en-US" w:eastAsia="zh-CN"/>
        </w:rPr>
        <w:t>插入</w:t>
      </w:r>
      <w:r>
        <w:rPr>
          <w:rFonts w:hint="eastAsia" w:ascii="宋体" w:hAnsi="宋体" w:eastAsia="宋体" w:cs="宋体"/>
          <w:lang w:val="en-US" w:eastAsia="zh-CN"/>
        </w:rPr>
        <w:t>：点击可将设置好的组合添加至自选套利组合列表。</w:t>
      </w:r>
    </w:p>
    <w:p w14:paraId="1E3C28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lang w:val="en-US" w:eastAsia="zh-CN"/>
        </w:rPr>
      </w:pPr>
      <w:r>
        <w:rPr>
          <w:rFonts w:hint="eastAsia" w:ascii="宋体" w:hAnsi="宋体" w:eastAsia="宋体" w:cs="宋体"/>
          <w:b/>
          <w:bCs/>
          <w:lang w:val="en-US" w:eastAsia="zh-CN"/>
        </w:rPr>
        <w:t>删除</w:t>
      </w:r>
      <w:r>
        <w:rPr>
          <w:rFonts w:hint="eastAsia" w:ascii="宋体" w:hAnsi="宋体" w:eastAsia="宋体" w:cs="宋体"/>
          <w:lang w:val="en-US" w:eastAsia="zh-CN"/>
        </w:rPr>
        <w:t>：选中一条自选套利组合后，点击“删除”可删除监控中合约组合。</w:t>
      </w:r>
    </w:p>
    <w:p w14:paraId="2DD7D9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lang w:val="en-US" w:eastAsia="zh-CN"/>
        </w:rPr>
      </w:pPr>
      <w:r>
        <w:rPr>
          <w:rFonts w:hint="eastAsia" w:ascii="宋体" w:hAnsi="宋体" w:eastAsia="宋体" w:cs="宋体"/>
          <w:b/>
          <w:bCs/>
          <w:lang w:val="en-US" w:eastAsia="zh-CN"/>
        </w:rPr>
        <w:t>修改</w:t>
      </w:r>
      <w:r>
        <w:rPr>
          <w:rFonts w:hint="eastAsia" w:ascii="宋体" w:hAnsi="宋体" w:eastAsia="宋体" w:cs="宋体"/>
          <w:lang w:val="en-US" w:eastAsia="zh-CN"/>
        </w:rPr>
        <w:t>：选中一条自选套利组合后，可重新编辑基差公式，方向和阈值（请注意仅支持修改基差公式），然后点击“修改”生效。</w:t>
      </w:r>
    </w:p>
    <w:p w14:paraId="3E73F7EE">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套利雷达</w:t>
      </w:r>
    </w:p>
    <w:p w14:paraId="48D908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套利雷达界面展示套利组合构建页面设置好的合约组合基差监控，5*5展示组合合约名称和价差（系统默认推荐当前市场热点套利组合）。</w:t>
      </w:r>
    </w:p>
    <w:p w14:paraId="1C3083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若价差为正，价差背景为红色，价差为负，价差背景为绿色，价差为0或空，价差背景为灰色（右上角提供了图示说明）。</w:t>
      </w:r>
    </w:p>
    <w:p w14:paraId="0D4D34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若价差处于设置的阈值范围，监控中的合约组合橘色闪烁提醒。</w:t>
      </w:r>
    </w:p>
    <w:p w14:paraId="6599CC01">
      <w:pPr>
        <w:rPr>
          <w:rFonts w:hint="eastAsia" w:asciiTheme="minorEastAsia" w:hAnsiTheme="minorEastAsia"/>
          <w:sz w:val="21"/>
          <w:szCs w:val="21"/>
          <w:lang w:eastAsia="zh-CN"/>
        </w:rPr>
      </w:pPr>
      <w:r>
        <w:drawing>
          <wp:inline distT="0" distB="0" distL="114300" distR="114300">
            <wp:extent cx="5266690" cy="2830830"/>
            <wp:effectExtent l="0" t="0" r="10160" b="762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75"/>
                    <a:stretch>
                      <a:fillRect/>
                    </a:stretch>
                  </pic:blipFill>
                  <pic:spPr>
                    <a:xfrm>
                      <a:off x="0" y="0"/>
                      <a:ext cx="5266690" cy="2830830"/>
                    </a:xfrm>
                    <a:prstGeom prst="rect">
                      <a:avLst/>
                    </a:prstGeom>
                    <a:noFill/>
                    <a:ln>
                      <a:noFill/>
                    </a:ln>
                  </pic:spPr>
                </pic:pic>
              </a:graphicData>
            </a:graphic>
          </wp:inline>
        </w:drawing>
      </w:r>
    </w:p>
    <w:p w14:paraId="2B1A2851">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多品种套利申请</w:t>
      </w:r>
    </w:p>
    <w:p w14:paraId="53F606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多品种套利申请功能界面展示多品种套利交易相关产品介绍和申请使用按钮。</w:t>
      </w:r>
    </w:p>
    <w:p w14:paraId="319957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点击交易-交易界面-套利交易-多品种套利申请，可进入多品种套利介绍界面，主要介绍套利的本质、常见难点、多品种套利解决方案及优势等内容，页面底部显示相关联系方式（微信号、QQ号、邮箱）、申请使用流程及申请使用按钮。如图：</w:t>
      </w:r>
    </w:p>
    <w:p w14:paraId="3F2C8A0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drawing>
          <wp:inline distT="0" distB="0" distL="114300" distR="114300">
            <wp:extent cx="5266690" cy="2830830"/>
            <wp:effectExtent l="0" t="0" r="10160" b="762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76"/>
                    <a:stretch>
                      <a:fillRect/>
                    </a:stretch>
                  </pic:blipFill>
                  <pic:spPr>
                    <a:xfrm>
                      <a:off x="0" y="0"/>
                      <a:ext cx="5266690" cy="2830830"/>
                    </a:xfrm>
                    <a:prstGeom prst="rect">
                      <a:avLst/>
                    </a:prstGeom>
                    <a:noFill/>
                    <a:ln>
                      <a:noFill/>
                    </a:ln>
                  </pic:spPr>
                </pic:pic>
              </a:graphicData>
            </a:graphic>
          </wp:inline>
        </w:drawing>
      </w:r>
    </w:p>
    <w:p w14:paraId="772DDD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页面底部可申请试用，点进申请流程下“申请试用”或底部申请试用按钮，弹框提示“申请成功，请耐心等待”。具体流程如下：</w:t>
      </w:r>
    </w:p>
    <w:p w14:paraId="728A9CA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sz w:val="21"/>
          <w:szCs w:val="21"/>
          <w:lang w:eastAsia="zh-CN"/>
        </w:rPr>
      </w:pPr>
      <w:r>
        <w:drawing>
          <wp:inline distT="0" distB="0" distL="114300" distR="114300">
            <wp:extent cx="5266690" cy="2830830"/>
            <wp:effectExtent l="0" t="0" r="10160" b="762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77"/>
                    <a:stretch>
                      <a:fillRect/>
                    </a:stretch>
                  </pic:blipFill>
                  <pic:spPr>
                    <a:xfrm>
                      <a:off x="0" y="0"/>
                      <a:ext cx="5266690" cy="2830830"/>
                    </a:xfrm>
                    <a:prstGeom prst="rect">
                      <a:avLst/>
                    </a:prstGeom>
                    <a:noFill/>
                    <a:ln>
                      <a:noFill/>
                    </a:ln>
                  </pic:spPr>
                </pic:pic>
              </a:graphicData>
            </a:graphic>
          </wp:inline>
        </w:drawing>
      </w:r>
    </w:p>
    <w:p w14:paraId="71009DC6">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4"/>
          <w:szCs w:val="24"/>
          <w:lang w:val="en-US" w:eastAsia="zh-CN"/>
        </w:rPr>
      </w:pPr>
      <w:bookmarkStart w:id="25" w:name="_Toc23749"/>
      <w:r>
        <w:rPr>
          <w:rFonts w:hint="eastAsia" w:ascii="宋体" w:hAnsi="宋体" w:eastAsia="宋体" w:cs="宋体"/>
          <w:sz w:val="24"/>
          <w:szCs w:val="24"/>
          <w:lang w:val="en-US" w:eastAsia="zh-CN"/>
        </w:rPr>
        <w:t>多品种套利</w:t>
      </w:r>
      <w:bookmarkEnd w:id="25"/>
    </w:p>
    <w:p w14:paraId="1A9EDA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多品种套利功能模块为投资者提供跨期、跨品种、跨市场套利的解决方案，该模块通过对套利机会和套利逻辑的全自动监控和执行,有效解决人工盯盘“范围小、效率低”的痛点，助力投资者扩大盯盘范围并提升套利效率。</w:t>
      </w:r>
    </w:p>
    <w:p w14:paraId="3793BD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多品种套利功能模块支持的交易所、品种以及交易方向如下：</w:t>
      </w:r>
    </w:p>
    <w:tbl>
      <w:tblPr>
        <w:tblStyle w:val="20"/>
        <w:tblW w:w="83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93"/>
        <w:gridCol w:w="3256"/>
        <w:gridCol w:w="2083"/>
        <w:gridCol w:w="1679"/>
      </w:tblGrid>
      <w:tr w14:paraId="5D548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293" w:type="dxa"/>
          </w:tcPr>
          <w:p w14:paraId="3DB162CE">
            <w:pPr>
              <w:jc w:val="center"/>
              <w:rPr>
                <w:rFonts w:asciiTheme="minorEastAsia" w:hAnsiTheme="minorEastAsia"/>
                <w:b/>
                <w:bCs/>
                <w:sz w:val="21"/>
                <w:szCs w:val="21"/>
                <w:lang w:eastAsia="zh-CN"/>
              </w:rPr>
            </w:pPr>
            <w:r>
              <w:rPr>
                <w:rFonts w:hint="eastAsia" w:asciiTheme="minorEastAsia" w:hAnsiTheme="minorEastAsia"/>
                <w:b/>
                <w:bCs/>
                <w:sz w:val="21"/>
                <w:szCs w:val="21"/>
                <w:lang w:eastAsia="zh-CN"/>
              </w:rPr>
              <w:t>资产账号</w:t>
            </w:r>
          </w:p>
        </w:tc>
        <w:tc>
          <w:tcPr>
            <w:tcW w:w="3256" w:type="dxa"/>
          </w:tcPr>
          <w:p w14:paraId="59283B99">
            <w:pPr>
              <w:jc w:val="center"/>
              <w:rPr>
                <w:rFonts w:asciiTheme="minorEastAsia" w:hAnsiTheme="minorEastAsia"/>
                <w:b/>
                <w:bCs/>
                <w:sz w:val="21"/>
                <w:szCs w:val="21"/>
                <w:lang w:eastAsia="zh-CN"/>
              </w:rPr>
            </w:pPr>
            <w:r>
              <w:rPr>
                <w:rFonts w:hint="eastAsia" w:asciiTheme="minorEastAsia" w:hAnsiTheme="minorEastAsia"/>
                <w:b/>
                <w:bCs/>
                <w:sz w:val="21"/>
                <w:szCs w:val="21"/>
                <w:lang w:eastAsia="zh-CN"/>
              </w:rPr>
              <w:t>交易所</w:t>
            </w:r>
          </w:p>
        </w:tc>
        <w:tc>
          <w:tcPr>
            <w:tcW w:w="2083" w:type="dxa"/>
          </w:tcPr>
          <w:p w14:paraId="77833059">
            <w:pPr>
              <w:jc w:val="center"/>
              <w:rPr>
                <w:rFonts w:asciiTheme="minorEastAsia" w:hAnsiTheme="minorEastAsia"/>
                <w:b/>
                <w:bCs/>
                <w:sz w:val="21"/>
                <w:szCs w:val="21"/>
                <w:lang w:eastAsia="zh-CN"/>
              </w:rPr>
            </w:pPr>
            <w:r>
              <w:rPr>
                <w:rFonts w:hint="eastAsia" w:asciiTheme="minorEastAsia" w:hAnsiTheme="minorEastAsia"/>
                <w:b/>
                <w:bCs/>
                <w:sz w:val="21"/>
                <w:szCs w:val="21"/>
                <w:lang w:eastAsia="zh-CN"/>
              </w:rPr>
              <w:t>品种</w:t>
            </w:r>
          </w:p>
        </w:tc>
        <w:tc>
          <w:tcPr>
            <w:tcW w:w="1679" w:type="dxa"/>
          </w:tcPr>
          <w:p w14:paraId="7EE2C961">
            <w:pPr>
              <w:jc w:val="center"/>
              <w:rPr>
                <w:rFonts w:asciiTheme="minorEastAsia" w:hAnsiTheme="minorEastAsia"/>
                <w:b/>
                <w:bCs/>
                <w:sz w:val="21"/>
                <w:szCs w:val="21"/>
                <w:lang w:eastAsia="zh-CN"/>
              </w:rPr>
            </w:pPr>
            <w:r>
              <w:rPr>
                <w:rFonts w:hint="eastAsia" w:asciiTheme="minorEastAsia" w:hAnsiTheme="minorEastAsia"/>
                <w:b/>
                <w:bCs/>
                <w:sz w:val="21"/>
                <w:szCs w:val="21"/>
                <w:lang w:eastAsia="zh-CN"/>
              </w:rPr>
              <w:t>交易方向</w:t>
            </w:r>
          </w:p>
        </w:tc>
      </w:tr>
      <w:tr w14:paraId="36933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293" w:type="dxa"/>
            <w:vAlign w:val="center"/>
          </w:tcPr>
          <w:p w14:paraId="0E232B3C">
            <w:pPr>
              <w:jc w:val="center"/>
              <w:rPr>
                <w:rFonts w:asciiTheme="minorEastAsia" w:hAnsiTheme="minorEastAsia"/>
                <w:sz w:val="21"/>
                <w:szCs w:val="21"/>
                <w:lang w:eastAsia="zh-CN"/>
              </w:rPr>
            </w:pPr>
            <w:r>
              <w:rPr>
                <w:rFonts w:hint="eastAsia" w:asciiTheme="minorEastAsia" w:hAnsiTheme="minorEastAsia"/>
                <w:sz w:val="21"/>
                <w:szCs w:val="21"/>
                <w:lang w:val="en-US" w:eastAsia="zh-CN"/>
              </w:rPr>
              <w:t>证券现货</w:t>
            </w:r>
            <w:r>
              <w:rPr>
                <w:rFonts w:hint="eastAsia" w:asciiTheme="minorEastAsia" w:hAnsiTheme="minorEastAsia"/>
                <w:sz w:val="21"/>
                <w:szCs w:val="21"/>
                <w:lang w:eastAsia="zh-CN"/>
              </w:rPr>
              <w:t>账号</w:t>
            </w:r>
          </w:p>
        </w:tc>
        <w:tc>
          <w:tcPr>
            <w:tcW w:w="3256" w:type="dxa"/>
            <w:vAlign w:val="center"/>
          </w:tcPr>
          <w:p w14:paraId="763E55BD">
            <w:pPr>
              <w:jc w:val="center"/>
              <w:rPr>
                <w:rFonts w:asciiTheme="minorEastAsia" w:hAnsiTheme="minorEastAsia"/>
                <w:sz w:val="21"/>
                <w:szCs w:val="21"/>
                <w:lang w:eastAsia="zh-CN"/>
              </w:rPr>
            </w:pPr>
            <w:r>
              <w:rPr>
                <w:rFonts w:hint="eastAsia" w:asciiTheme="minorEastAsia" w:hAnsiTheme="minorEastAsia"/>
                <w:sz w:val="21"/>
                <w:szCs w:val="21"/>
                <w:lang w:eastAsia="zh-CN"/>
              </w:rPr>
              <w:t>上交所</w:t>
            </w:r>
            <w:r>
              <w:rPr>
                <w:rFonts w:hint="eastAsia" w:asciiTheme="minorEastAsia" w:hAnsiTheme="minorEastAsia"/>
                <w:sz w:val="21"/>
                <w:szCs w:val="21"/>
                <w:lang w:val="en-US" w:eastAsia="zh-CN"/>
              </w:rPr>
              <w:t>/</w:t>
            </w:r>
            <w:r>
              <w:rPr>
                <w:rFonts w:hint="eastAsia" w:asciiTheme="minorEastAsia" w:hAnsiTheme="minorEastAsia"/>
                <w:sz w:val="21"/>
                <w:szCs w:val="21"/>
                <w:lang w:eastAsia="zh-CN"/>
              </w:rPr>
              <w:t>深交所</w:t>
            </w:r>
          </w:p>
        </w:tc>
        <w:tc>
          <w:tcPr>
            <w:tcW w:w="2083" w:type="dxa"/>
            <w:vAlign w:val="center"/>
          </w:tcPr>
          <w:p w14:paraId="506C35A9">
            <w:pPr>
              <w:jc w:val="center"/>
              <w:rPr>
                <w:rFonts w:asciiTheme="minorEastAsia" w:hAnsiTheme="minorEastAsia"/>
                <w:sz w:val="21"/>
                <w:szCs w:val="21"/>
                <w:lang w:eastAsia="zh-CN"/>
              </w:rPr>
            </w:pPr>
            <w:r>
              <w:rPr>
                <w:rFonts w:hint="eastAsia" w:asciiTheme="minorEastAsia" w:hAnsiTheme="minorEastAsia"/>
                <w:sz w:val="21"/>
                <w:szCs w:val="21"/>
                <w:lang w:eastAsia="zh-CN"/>
              </w:rPr>
              <w:t>E</w:t>
            </w:r>
            <w:r>
              <w:rPr>
                <w:rFonts w:asciiTheme="minorEastAsia" w:hAnsiTheme="minorEastAsia"/>
                <w:sz w:val="21"/>
                <w:szCs w:val="21"/>
                <w:lang w:eastAsia="zh-CN"/>
              </w:rPr>
              <w:t>TF</w:t>
            </w:r>
          </w:p>
        </w:tc>
        <w:tc>
          <w:tcPr>
            <w:tcW w:w="1679" w:type="dxa"/>
            <w:vAlign w:val="center"/>
          </w:tcPr>
          <w:p w14:paraId="625373ED">
            <w:pPr>
              <w:jc w:val="center"/>
              <w:rPr>
                <w:rFonts w:asciiTheme="minorEastAsia" w:hAnsiTheme="minorEastAsia"/>
                <w:sz w:val="21"/>
                <w:szCs w:val="21"/>
                <w:lang w:eastAsia="zh-CN"/>
              </w:rPr>
            </w:pPr>
            <w:r>
              <w:rPr>
                <w:rFonts w:hint="eastAsia" w:asciiTheme="minorEastAsia" w:hAnsiTheme="minorEastAsia"/>
                <w:sz w:val="21"/>
                <w:szCs w:val="21"/>
                <w:lang w:eastAsia="zh-CN"/>
              </w:rPr>
              <w:t>买入、卖出</w:t>
            </w:r>
          </w:p>
        </w:tc>
      </w:tr>
      <w:tr w14:paraId="75BC5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293" w:type="dxa"/>
            <w:vAlign w:val="center"/>
          </w:tcPr>
          <w:p w14:paraId="448FC079">
            <w:pPr>
              <w:jc w:val="center"/>
              <w:rPr>
                <w:rFonts w:asciiTheme="minorEastAsia" w:hAnsiTheme="minorEastAsia"/>
                <w:sz w:val="21"/>
                <w:szCs w:val="21"/>
                <w:lang w:eastAsia="zh-CN"/>
              </w:rPr>
            </w:pPr>
            <w:r>
              <w:rPr>
                <w:rFonts w:hint="eastAsia" w:asciiTheme="minorEastAsia" w:hAnsiTheme="minorEastAsia"/>
                <w:sz w:val="21"/>
                <w:szCs w:val="21"/>
                <w:lang w:val="en-US" w:eastAsia="zh-CN"/>
              </w:rPr>
              <w:t>证券</w:t>
            </w:r>
            <w:r>
              <w:rPr>
                <w:rFonts w:hint="eastAsia" w:asciiTheme="minorEastAsia" w:hAnsiTheme="minorEastAsia"/>
                <w:sz w:val="21"/>
                <w:szCs w:val="21"/>
                <w:lang w:eastAsia="zh-CN"/>
              </w:rPr>
              <w:t>期权账号</w:t>
            </w:r>
          </w:p>
        </w:tc>
        <w:tc>
          <w:tcPr>
            <w:tcW w:w="3256" w:type="dxa"/>
            <w:vAlign w:val="center"/>
          </w:tcPr>
          <w:p w14:paraId="068655CE">
            <w:pPr>
              <w:jc w:val="center"/>
              <w:rPr>
                <w:rFonts w:asciiTheme="minorEastAsia" w:hAnsiTheme="minorEastAsia"/>
                <w:sz w:val="21"/>
                <w:szCs w:val="21"/>
                <w:lang w:eastAsia="zh-CN"/>
              </w:rPr>
            </w:pPr>
            <w:r>
              <w:rPr>
                <w:rFonts w:hint="eastAsia" w:asciiTheme="minorEastAsia" w:hAnsiTheme="minorEastAsia"/>
                <w:sz w:val="21"/>
                <w:szCs w:val="21"/>
                <w:lang w:eastAsia="zh-CN"/>
              </w:rPr>
              <w:t>上交所</w:t>
            </w:r>
            <w:r>
              <w:rPr>
                <w:rFonts w:hint="eastAsia" w:asciiTheme="minorEastAsia" w:hAnsiTheme="minorEastAsia"/>
                <w:sz w:val="21"/>
                <w:szCs w:val="21"/>
                <w:lang w:val="en-US" w:eastAsia="zh-CN"/>
              </w:rPr>
              <w:t>/</w:t>
            </w:r>
            <w:r>
              <w:rPr>
                <w:rFonts w:hint="eastAsia" w:asciiTheme="minorEastAsia" w:hAnsiTheme="minorEastAsia"/>
                <w:sz w:val="21"/>
                <w:szCs w:val="21"/>
                <w:lang w:eastAsia="zh-CN"/>
              </w:rPr>
              <w:t>深交所</w:t>
            </w:r>
          </w:p>
        </w:tc>
        <w:tc>
          <w:tcPr>
            <w:tcW w:w="2083" w:type="dxa"/>
            <w:vAlign w:val="center"/>
          </w:tcPr>
          <w:p w14:paraId="7A2F0C41">
            <w:pPr>
              <w:jc w:val="center"/>
              <w:rPr>
                <w:rFonts w:asciiTheme="minorEastAsia" w:hAnsiTheme="minorEastAsia"/>
                <w:sz w:val="21"/>
                <w:szCs w:val="21"/>
                <w:lang w:eastAsia="zh-CN"/>
              </w:rPr>
            </w:pPr>
            <w:r>
              <w:rPr>
                <w:rFonts w:hint="eastAsia" w:asciiTheme="minorEastAsia" w:hAnsiTheme="minorEastAsia"/>
                <w:sz w:val="21"/>
                <w:szCs w:val="21"/>
                <w:lang w:eastAsia="zh-CN"/>
              </w:rPr>
              <w:t>E</w:t>
            </w:r>
            <w:r>
              <w:rPr>
                <w:rFonts w:asciiTheme="minorEastAsia" w:hAnsiTheme="minorEastAsia"/>
                <w:sz w:val="21"/>
                <w:szCs w:val="21"/>
                <w:lang w:eastAsia="zh-CN"/>
              </w:rPr>
              <w:t>TF</w:t>
            </w:r>
            <w:r>
              <w:rPr>
                <w:rFonts w:hint="eastAsia" w:asciiTheme="minorEastAsia" w:hAnsiTheme="minorEastAsia"/>
                <w:sz w:val="21"/>
                <w:szCs w:val="21"/>
                <w:lang w:eastAsia="zh-CN"/>
              </w:rPr>
              <w:t>期权</w:t>
            </w:r>
          </w:p>
        </w:tc>
        <w:tc>
          <w:tcPr>
            <w:tcW w:w="1679" w:type="dxa"/>
            <w:vAlign w:val="center"/>
          </w:tcPr>
          <w:p w14:paraId="70252079">
            <w:pPr>
              <w:jc w:val="center"/>
              <w:rPr>
                <w:rFonts w:asciiTheme="minorEastAsia" w:hAnsiTheme="minorEastAsia"/>
                <w:sz w:val="21"/>
                <w:szCs w:val="21"/>
                <w:lang w:eastAsia="zh-CN"/>
              </w:rPr>
            </w:pPr>
            <w:r>
              <w:rPr>
                <w:rFonts w:hint="eastAsia" w:asciiTheme="minorEastAsia" w:hAnsiTheme="minorEastAsia"/>
                <w:sz w:val="21"/>
                <w:szCs w:val="21"/>
                <w:lang w:eastAsia="zh-CN"/>
              </w:rPr>
              <w:t>买开、卖开</w:t>
            </w:r>
          </w:p>
          <w:p w14:paraId="07B9D2F8">
            <w:pPr>
              <w:jc w:val="center"/>
              <w:rPr>
                <w:rFonts w:asciiTheme="minorEastAsia" w:hAnsiTheme="minorEastAsia"/>
                <w:sz w:val="21"/>
                <w:szCs w:val="21"/>
                <w:lang w:eastAsia="zh-CN"/>
              </w:rPr>
            </w:pPr>
            <w:r>
              <w:rPr>
                <w:rFonts w:hint="eastAsia" w:asciiTheme="minorEastAsia" w:hAnsiTheme="minorEastAsia"/>
                <w:sz w:val="21"/>
                <w:szCs w:val="21"/>
                <w:lang w:eastAsia="zh-CN"/>
              </w:rPr>
              <w:t>买平、卖平</w:t>
            </w:r>
          </w:p>
        </w:tc>
      </w:tr>
      <w:tr w14:paraId="2EDE9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293" w:type="dxa"/>
            <w:vAlign w:val="center"/>
          </w:tcPr>
          <w:p w14:paraId="4963D5AC">
            <w:pPr>
              <w:jc w:val="center"/>
              <w:rPr>
                <w:rFonts w:asciiTheme="minorEastAsia" w:hAnsiTheme="minorEastAsia"/>
                <w:sz w:val="21"/>
                <w:szCs w:val="21"/>
                <w:lang w:eastAsia="zh-CN"/>
              </w:rPr>
            </w:pPr>
            <w:r>
              <w:rPr>
                <w:rFonts w:hint="eastAsia" w:asciiTheme="minorEastAsia" w:hAnsiTheme="minorEastAsia"/>
                <w:sz w:val="21"/>
                <w:szCs w:val="21"/>
                <w:lang w:eastAsia="zh-CN"/>
              </w:rPr>
              <w:t>期货账号</w:t>
            </w:r>
          </w:p>
        </w:tc>
        <w:tc>
          <w:tcPr>
            <w:tcW w:w="3256" w:type="dxa"/>
            <w:vAlign w:val="center"/>
          </w:tcPr>
          <w:p w14:paraId="1609122F">
            <w:pPr>
              <w:jc w:val="center"/>
              <w:rPr>
                <w:rFonts w:asciiTheme="minorEastAsia" w:hAnsiTheme="minorEastAsia"/>
                <w:sz w:val="21"/>
                <w:szCs w:val="21"/>
                <w:lang w:eastAsia="zh-CN"/>
              </w:rPr>
            </w:pPr>
            <w:r>
              <w:rPr>
                <w:rFonts w:hint="eastAsia" w:asciiTheme="minorEastAsia" w:hAnsiTheme="minorEastAsia"/>
                <w:sz w:val="21"/>
                <w:szCs w:val="21"/>
                <w:lang w:eastAsia="zh-CN"/>
              </w:rPr>
              <w:t>中金所</w:t>
            </w:r>
            <w:r>
              <w:rPr>
                <w:rFonts w:hint="eastAsia" w:asciiTheme="minorEastAsia" w:hAnsiTheme="minorEastAsia"/>
                <w:sz w:val="21"/>
                <w:szCs w:val="21"/>
                <w:lang w:val="en-US" w:eastAsia="zh-CN"/>
              </w:rPr>
              <w:t>/</w:t>
            </w:r>
            <w:r>
              <w:rPr>
                <w:rFonts w:hint="eastAsia" w:asciiTheme="minorEastAsia" w:hAnsiTheme="minorEastAsia"/>
                <w:sz w:val="21"/>
                <w:szCs w:val="21"/>
                <w:lang w:eastAsia="zh-CN"/>
              </w:rPr>
              <w:t>上期所</w:t>
            </w:r>
            <w:r>
              <w:rPr>
                <w:rFonts w:hint="eastAsia" w:asciiTheme="minorEastAsia" w:hAnsiTheme="minorEastAsia"/>
                <w:sz w:val="21"/>
                <w:szCs w:val="21"/>
                <w:lang w:val="en-US" w:eastAsia="zh-CN"/>
              </w:rPr>
              <w:t>/</w:t>
            </w:r>
            <w:r>
              <w:rPr>
                <w:rFonts w:hint="eastAsia" w:asciiTheme="minorEastAsia" w:hAnsiTheme="minorEastAsia"/>
                <w:sz w:val="21"/>
                <w:szCs w:val="21"/>
                <w:lang w:eastAsia="zh-CN"/>
              </w:rPr>
              <w:t>上能源</w:t>
            </w:r>
            <w:r>
              <w:rPr>
                <w:rFonts w:hint="eastAsia" w:asciiTheme="minorEastAsia" w:hAnsiTheme="minorEastAsia"/>
                <w:sz w:val="21"/>
                <w:szCs w:val="21"/>
                <w:lang w:val="en-US" w:eastAsia="zh-CN"/>
              </w:rPr>
              <w:t>/</w:t>
            </w:r>
            <w:r>
              <w:rPr>
                <w:rFonts w:hint="eastAsia" w:asciiTheme="minorEastAsia" w:hAnsiTheme="minorEastAsia"/>
                <w:sz w:val="21"/>
                <w:szCs w:val="21"/>
                <w:lang w:eastAsia="zh-CN"/>
              </w:rPr>
              <w:t>大商所</w:t>
            </w:r>
            <w:r>
              <w:rPr>
                <w:rFonts w:hint="eastAsia" w:asciiTheme="minorEastAsia" w:hAnsiTheme="minorEastAsia"/>
                <w:sz w:val="21"/>
                <w:szCs w:val="21"/>
                <w:lang w:val="en-US" w:eastAsia="zh-CN"/>
              </w:rPr>
              <w:t>/</w:t>
            </w:r>
            <w:r>
              <w:rPr>
                <w:rFonts w:hint="eastAsia" w:asciiTheme="minorEastAsia" w:hAnsiTheme="minorEastAsia"/>
                <w:sz w:val="21"/>
                <w:szCs w:val="21"/>
                <w:lang w:eastAsia="zh-CN"/>
              </w:rPr>
              <w:t>郑商所</w:t>
            </w:r>
            <w:r>
              <w:rPr>
                <w:rFonts w:hint="eastAsia" w:asciiTheme="minorEastAsia" w:hAnsiTheme="minorEastAsia"/>
                <w:sz w:val="21"/>
                <w:szCs w:val="21"/>
                <w:lang w:val="en-US" w:eastAsia="zh-CN"/>
              </w:rPr>
              <w:t>/</w:t>
            </w:r>
            <w:r>
              <w:rPr>
                <w:rFonts w:hint="eastAsia" w:asciiTheme="minorEastAsia" w:hAnsiTheme="minorEastAsia"/>
                <w:sz w:val="21"/>
                <w:szCs w:val="21"/>
                <w:lang w:eastAsia="zh-CN"/>
              </w:rPr>
              <w:t>广期所</w:t>
            </w:r>
          </w:p>
        </w:tc>
        <w:tc>
          <w:tcPr>
            <w:tcW w:w="2083" w:type="dxa"/>
            <w:vAlign w:val="center"/>
          </w:tcPr>
          <w:p w14:paraId="750B61B9">
            <w:pPr>
              <w:jc w:val="center"/>
              <w:rPr>
                <w:rFonts w:asciiTheme="minorEastAsia" w:hAnsiTheme="minorEastAsia"/>
                <w:sz w:val="21"/>
                <w:szCs w:val="21"/>
                <w:lang w:eastAsia="zh-CN"/>
              </w:rPr>
            </w:pPr>
            <w:r>
              <w:rPr>
                <w:rFonts w:hint="eastAsia" w:asciiTheme="minorEastAsia" w:hAnsiTheme="minorEastAsia"/>
                <w:sz w:val="21"/>
                <w:szCs w:val="21"/>
                <w:lang w:eastAsia="zh-CN"/>
              </w:rPr>
              <w:t>股指期货、</w:t>
            </w:r>
            <w:r>
              <w:rPr>
                <w:rFonts w:hint="eastAsia" w:asciiTheme="minorEastAsia" w:hAnsiTheme="minorEastAsia"/>
                <w:sz w:val="21"/>
                <w:szCs w:val="21"/>
                <w:lang w:val="en-US" w:eastAsia="zh-CN"/>
              </w:rPr>
              <w:t>国债期货、</w:t>
            </w:r>
            <w:r>
              <w:rPr>
                <w:rFonts w:hint="eastAsia" w:asciiTheme="minorEastAsia" w:hAnsiTheme="minorEastAsia"/>
                <w:sz w:val="21"/>
                <w:szCs w:val="21"/>
                <w:lang w:eastAsia="zh-CN"/>
              </w:rPr>
              <w:t>商品期货</w:t>
            </w:r>
          </w:p>
        </w:tc>
        <w:tc>
          <w:tcPr>
            <w:tcW w:w="1679" w:type="dxa"/>
            <w:vAlign w:val="center"/>
          </w:tcPr>
          <w:p w14:paraId="56385C02">
            <w:pPr>
              <w:jc w:val="center"/>
              <w:rPr>
                <w:rFonts w:asciiTheme="minorEastAsia" w:hAnsiTheme="minorEastAsia"/>
                <w:sz w:val="21"/>
                <w:szCs w:val="21"/>
                <w:lang w:eastAsia="zh-CN"/>
              </w:rPr>
            </w:pPr>
            <w:r>
              <w:rPr>
                <w:rFonts w:hint="eastAsia" w:asciiTheme="minorEastAsia" w:hAnsiTheme="minorEastAsia"/>
                <w:sz w:val="21"/>
                <w:szCs w:val="21"/>
                <w:lang w:eastAsia="zh-CN"/>
              </w:rPr>
              <w:t>买开、卖开</w:t>
            </w:r>
          </w:p>
          <w:p w14:paraId="3D0D5C33">
            <w:pPr>
              <w:jc w:val="center"/>
              <w:rPr>
                <w:rFonts w:asciiTheme="minorEastAsia" w:hAnsiTheme="minorEastAsia"/>
                <w:sz w:val="21"/>
                <w:szCs w:val="21"/>
                <w:lang w:eastAsia="zh-CN"/>
              </w:rPr>
            </w:pPr>
            <w:r>
              <w:rPr>
                <w:rFonts w:hint="eastAsia" w:asciiTheme="minorEastAsia" w:hAnsiTheme="minorEastAsia"/>
                <w:sz w:val="21"/>
                <w:szCs w:val="21"/>
                <w:lang w:eastAsia="zh-CN"/>
              </w:rPr>
              <w:t>买平、卖平</w:t>
            </w:r>
          </w:p>
          <w:p w14:paraId="6E9573B4">
            <w:pPr>
              <w:jc w:val="center"/>
              <w:rPr>
                <w:rFonts w:asciiTheme="minorEastAsia" w:hAnsiTheme="minorEastAsia"/>
                <w:sz w:val="21"/>
                <w:szCs w:val="21"/>
                <w:lang w:eastAsia="zh-CN"/>
              </w:rPr>
            </w:pPr>
            <w:r>
              <w:rPr>
                <w:rFonts w:hint="eastAsia" w:asciiTheme="minorEastAsia" w:hAnsiTheme="minorEastAsia"/>
                <w:sz w:val="21"/>
                <w:szCs w:val="21"/>
                <w:lang w:eastAsia="zh-CN"/>
              </w:rPr>
              <w:t>买平(优先平今</w:t>
            </w:r>
            <w:r>
              <w:rPr>
                <w:rFonts w:asciiTheme="minorEastAsia" w:hAnsiTheme="minorEastAsia"/>
                <w:sz w:val="21"/>
                <w:szCs w:val="21"/>
                <w:lang w:eastAsia="zh-CN"/>
              </w:rPr>
              <w:t>)</w:t>
            </w:r>
          </w:p>
          <w:p w14:paraId="50B0EF71">
            <w:pPr>
              <w:jc w:val="center"/>
              <w:rPr>
                <w:rFonts w:asciiTheme="minorEastAsia" w:hAnsiTheme="minorEastAsia"/>
                <w:sz w:val="21"/>
                <w:szCs w:val="21"/>
                <w:lang w:eastAsia="zh-CN"/>
              </w:rPr>
            </w:pPr>
            <w:r>
              <w:rPr>
                <w:rFonts w:hint="eastAsia" w:asciiTheme="minorEastAsia" w:hAnsiTheme="minorEastAsia"/>
                <w:sz w:val="21"/>
                <w:szCs w:val="21"/>
                <w:lang w:eastAsia="zh-CN"/>
              </w:rPr>
              <w:t>卖平(优先平今</w:t>
            </w:r>
            <w:r>
              <w:rPr>
                <w:rFonts w:asciiTheme="minorEastAsia" w:hAnsiTheme="minorEastAsia"/>
                <w:sz w:val="21"/>
                <w:szCs w:val="21"/>
                <w:lang w:eastAsia="zh-CN"/>
              </w:rPr>
              <w:t>)</w:t>
            </w:r>
          </w:p>
          <w:p w14:paraId="29C2F2CA">
            <w:pPr>
              <w:jc w:val="center"/>
              <w:rPr>
                <w:rFonts w:asciiTheme="minorEastAsia" w:hAnsiTheme="minorEastAsia"/>
                <w:sz w:val="21"/>
                <w:szCs w:val="21"/>
                <w:lang w:eastAsia="zh-CN"/>
              </w:rPr>
            </w:pPr>
            <w:r>
              <w:rPr>
                <w:rFonts w:hint="eastAsia" w:asciiTheme="minorEastAsia" w:hAnsiTheme="minorEastAsia"/>
                <w:sz w:val="21"/>
                <w:szCs w:val="21"/>
                <w:lang w:eastAsia="zh-CN"/>
              </w:rPr>
              <w:t>买平(优先平</w:t>
            </w:r>
            <w:r>
              <w:rPr>
                <w:rFonts w:hint="eastAsia" w:asciiTheme="minorEastAsia" w:hAnsiTheme="minorEastAsia"/>
                <w:sz w:val="21"/>
                <w:szCs w:val="21"/>
                <w:lang w:val="en-US" w:eastAsia="zh-CN"/>
              </w:rPr>
              <w:t>昨</w:t>
            </w:r>
            <w:r>
              <w:rPr>
                <w:rFonts w:asciiTheme="minorEastAsia" w:hAnsiTheme="minorEastAsia"/>
                <w:sz w:val="21"/>
                <w:szCs w:val="21"/>
                <w:lang w:eastAsia="zh-CN"/>
              </w:rPr>
              <w:t>)</w:t>
            </w:r>
          </w:p>
          <w:p w14:paraId="4B106873">
            <w:pPr>
              <w:jc w:val="center"/>
              <w:rPr>
                <w:rFonts w:asciiTheme="minorEastAsia" w:hAnsiTheme="minorEastAsia"/>
                <w:sz w:val="21"/>
                <w:szCs w:val="21"/>
                <w:lang w:eastAsia="zh-CN"/>
              </w:rPr>
            </w:pPr>
            <w:r>
              <w:rPr>
                <w:rFonts w:hint="eastAsia" w:asciiTheme="minorEastAsia" w:hAnsiTheme="minorEastAsia"/>
                <w:sz w:val="21"/>
                <w:szCs w:val="21"/>
                <w:lang w:eastAsia="zh-CN"/>
              </w:rPr>
              <w:t>卖平(优先平</w:t>
            </w:r>
            <w:r>
              <w:rPr>
                <w:rFonts w:hint="eastAsia" w:asciiTheme="minorEastAsia" w:hAnsiTheme="minorEastAsia"/>
                <w:sz w:val="21"/>
                <w:szCs w:val="21"/>
                <w:lang w:val="en-US" w:eastAsia="zh-CN"/>
              </w:rPr>
              <w:t>昨</w:t>
            </w:r>
            <w:r>
              <w:rPr>
                <w:rFonts w:asciiTheme="minorEastAsia" w:hAnsiTheme="minorEastAsia"/>
                <w:sz w:val="21"/>
                <w:szCs w:val="21"/>
                <w:lang w:eastAsia="zh-CN"/>
              </w:rPr>
              <w:t>)</w:t>
            </w:r>
          </w:p>
        </w:tc>
      </w:tr>
    </w:tbl>
    <w:p w14:paraId="229277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Theme="minorEastAsia" w:hAnsiTheme="minorEastAsia"/>
          <w:sz w:val="21"/>
          <w:szCs w:val="21"/>
          <w:lang w:eastAsia="zh-CN"/>
        </w:rPr>
      </w:pPr>
      <w:r>
        <w:rPr>
          <w:rFonts w:hint="eastAsia" w:ascii="宋体" w:hAnsi="宋体" w:eastAsia="宋体" w:cs="宋体"/>
          <w:b w:val="0"/>
          <w:bCs w:val="0"/>
          <w:lang w:val="en-US" w:eastAsia="zh-CN"/>
        </w:rPr>
        <w:t>该模块包含策略列表、行情、委托、成交、持仓以及执行日志六大组件，各组件可复制、关闭、撤销关闭、拖动等操作。全局界面如下：</w:t>
      </w:r>
    </w:p>
    <w:p w14:paraId="42EC8174">
      <w:pPr>
        <w:rPr>
          <w:rFonts w:hint="eastAsia" w:asciiTheme="minorEastAsia" w:hAnsiTheme="minorEastAsia"/>
          <w:sz w:val="21"/>
          <w:szCs w:val="21"/>
          <w:lang w:eastAsia="zh-CN"/>
        </w:rPr>
      </w:pPr>
      <w:r>
        <w:rPr>
          <w:rFonts w:hint="eastAsia" w:asciiTheme="minorEastAsia" w:hAnsiTheme="minorEastAsia"/>
          <w:sz w:val="21"/>
          <w:szCs w:val="21"/>
          <w:lang w:eastAsia="zh-CN"/>
        </w:rPr>
        <w:drawing>
          <wp:inline distT="0" distB="0" distL="114300" distR="114300">
            <wp:extent cx="5234940" cy="2475230"/>
            <wp:effectExtent l="0" t="0" r="3810" b="1270"/>
            <wp:docPr id="507" name="图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507"/>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234940" cy="2475230"/>
                    </a:xfrm>
                    <a:prstGeom prst="rect">
                      <a:avLst/>
                    </a:prstGeom>
                  </pic:spPr>
                </pic:pic>
              </a:graphicData>
            </a:graphic>
          </wp:inline>
        </w:drawing>
      </w:r>
    </w:p>
    <w:p w14:paraId="0CB50D23">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b w:val="0"/>
          <w:bCs w:val="0"/>
          <w:sz w:val="24"/>
          <w:szCs w:val="24"/>
          <w:lang w:val="en-US" w:eastAsia="zh-CN"/>
        </w:rPr>
      </w:pPr>
      <w:r>
        <w:rPr>
          <w:rFonts w:hint="eastAsia" w:ascii="宋体" w:hAnsi="宋体" w:eastAsia="宋体" w:cs="宋体"/>
          <w:sz w:val="24"/>
          <w:szCs w:val="24"/>
          <w:lang w:val="en-US" w:eastAsia="zh-CN"/>
        </w:rPr>
        <w:t>策略列表</w:t>
      </w:r>
    </w:p>
    <w:p w14:paraId="71105E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策略列表展示用户当日创建以及跨日还未清除的策略信息，包括策略的实例ID、策略名称、委托量、成交量、敞口量、执行状态、执行操作、行情基差等信息。</w:t>
      </w:r>
    </w:p>
    <w:p w14:paraId="6216382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点击策略名称可以选中该条策略，点击执行操作列的图标可对策略进行操作。对执行状态为未执行、暂停、正在执行的策略，双击期望基差，可对基差阀值进行修改。</w:t>
      </w:r>
    </w:p>
    <w:p w14:paraId="3357F7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lang w:val="en-US" w:eastAsia="zh-CN"/>
        </w:rPr>
      </w:pPr>
      <w:r>
        <w:rPr>
          <w:rFonts w:hint="eastAsia" w:ascii="宋体" w:hAnsi="宋体" w:eastAsia="宋体" w:cs="宋体"/>
          <w:b w:val="0"/>
          <w:bCs w:val="0"/>
          <w:lang w:val="en-US" w:eastAsia="zh-CN"/>
        </w:rPr>
        <w:t>点击策略列表上的快捷按钮，可进行新增、修改、复制、删除以及启动、暂停、终止策略的操作，选中策略点击鼠标右键，可以对策略进行修改、复制、删除、加入行情列表等操作。</w:t>
      </w:r>
    </w:p>
    <w:p w14:paraId="608C2BA8">
      <w:pPr>
        <w:pStyle w:val="6"/>
        <w:numPr>
          <w:ilvl w:val="4"/>
          <w:numId w:val="2"/>
        </w:numPr>
        <w:bidi w:val="0"/>
        <w:ind w:left="991" w:leftChars="0" w:hanging="991" w:firstLineChars="0"/>
        <w:rPr>
          <w:rFonts w:hint="eastAsia"/>
          <w:sz w:val="24"/>
          <w:szCs w:val="24"/>
          <w:lang w:val="en-US" w:eastAsia="zh-CN"/>
        </w:rPr>
      </w:pPr>
      <w:r>
        <w:rPr>
          <w:rFonts w:hint="eastAsia"/>
          <w:sz w:val="24"/>
          <w:szCs w:val="24"/>
          <w:lang w:val="en-US" w:eastAsia="zh-CN"/>
        </w:rPr>
        <w:t>新增策略</w:t>
      </w:r>
    </w:p>
    <w:p w14:paraId="6C2193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在策略列表上方点击“新增”按钮，弹出新建策略页面，并在弹出的策略创建界面进行参数设置。</w:t>
      </w:r>
    </w:p>
    <w:p w14:paraId="2E26363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6690" cy="2830830"/>
            <wp:effectExtent l="0" t="0" r="10160" b="762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79"/>
                    <a:stretch>
                      <a:fillRect/>
                    </a:stretch>
                  </pic:blipFill>
                  <pic:spPr>
                    <a:xfrm>
                      <a:off x="0" y="0"/>
                      <a:ext cx="5266690" cy="2830830"/>
                    </a:xfrm>
                    <a:prstGeom prst="rect">
                      <a:avLst/>
                    </a:prstGeom>
                    <a:noFill/>
                    <a:ln>
                      <a:noFill/>
                    </a:ln>
                  </pic:spPr>
                </pic:pic>
              </a:graphicData>
            </a:graphic>
          </wp:inline>
        </w:drawing>
      </w:r>
    </w:p>
    <w:p w14:paraId="36323CB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新建策略参数：</w:t>
      </w:r>
    </w:p>
    <w:p w14:paraId="3B1E2B9C">
      <w:pPr>
        <w:keepNext w:val="0"/>
        <w:keepLines w:val="0"/>
        <w:pageBreakBefore w:val="0"/>
        <w:widowControl w:val="0"/>
        <w:numPr>
          <w:ilvl w:val="0"/>
          <w:numId w:val="9"/>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策略名称</w:t>
      </w:r>
    </w:p>
    <w:p w14:paraId="13104A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lang w:val="en-US" w:eastAsia="zh-CN"/>
        </w:rPr>
      </w:pPr>
      <w:r>
        <w:rPr>
          <w:rFonts w:hint="eastAsia"/>
          <w:lang w:val="en-US" w:eastAsia="zh-CN"/>
        </w:rPr>
        <w:t>输入框，必填项，支持输入字母、数字、文字和特殊符号，最长45个字符。</w:t>
      </w:r>
    </w:p>
    <w:p w14:paraId="58BF2B22">
      <w:pPr>
        <w:keepNext w:val="0"/>
        <w:keepLines w:val="0"/>
        <w:pageBreakBefore w:val="0"/>
        <w:widowControl w:val="0"/>
        <w:numPr>
          <w:ilvl w:val="0"/>
          <w:numId w:val="9"/>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添加、删除</w:t>
      </w:r>
    </w:p>
    <w:p w14:paraId="7A8B53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lang w:val="en-US" w:eastAsia="zh-CN"/>
        </w:rPr>
      </w:pPr>
      <w:r>
        <w:rPr>
          <w:rFonts w:hint="eastAsia"/>
          <w:lang w:val="en-US" w:eastAsia="zh-CN"/>
        </w:rPr>
        <w:t>添加腿，删除腿，目前支持添加两条腿。</w:t>
      </w:r>
    </w:p>
    <w:p w14:paraId="4E3368FC">
      <w:pPr>
        <w:keepNext w:val="0"/>
        <w:keepLines w:val="0"/>
        <w:pageBreakBefore w:val="0"/>
        <w:widowControl w:val="0"/>
        <w:numPr>
          <w:ilvl w:val="0"/>
          <w:numId w:val="9"/>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序号</w:t>
      </w:r>
    </w:p>
    <w:p w14:paraId="1F2DAC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lang w:val="en-US" w:eastAsia="zh-CN"/>
        </w:rPr>
      </w:pPr>
      <w:r>
        <w:rPr>
          <w:rFonts w:hint="eastAsia"/>
          <w:lang w:val="en-US" w:eastAsia="zh-CN"/>
        </w:rPr>
        <w:t>添加腿时自动带出，默认从A开始。</w:t>
      </w:r>
    </w:p>
    <w:p w14:paraId="09BD7332">
      <w:pPr>
        <w:keepNext w:val="0"/>
        <w:keepLines w:val="0"/>
        <w:pageBreakBefore w:val="0"/>
        <w:widowControl w:val="0"/>
        <w:numPr>
          <w:ilvl w:val="0"/>
          <w:numId w:val="9"/>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资产账号</w:t>
      </w:r>
    </w:p>
    <w:p w14:paraId="3E0A4DF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lang w:val="en-US" w:eastAsia="zh-CN"/>
        </w:rPr>
      </w:pPr>
      <w:r>
        <w:rPr>
          <w:rFonts w:hint="eastAsia"/>
          <w:lang w:val="en-US" w:eastAsia="zh-CN"/>
        </w:rPr>
        <w:t>展示绑定的</w:t>
      </w:r>
      <w:r>
        <w:rPr>
          <w:rFonts w:hint="eastAsia" w:asciiTheme="minorEastAsia" w:hAnsiTheme="minorEastAsia"/>
          <w:sz w:val="21"/>
          <w:szCs w:val="21"/>
          <w:lang w:val="en-US" w:eastAsia="zh-CN"/>
        </w:rPr>
        <w:t>证券现货</w:t>
      </w:r>
      <w:r>
        <w:rPr>
          <w:rFonts w:hint="eastAsia" w:asciiTheme="minorEastAsia" w:hAnsiTheme="minorEastAsia"/>
          <w:sz w:val="21"/>
          <w:szCs w:val="21"/>
          <w:lang w:eastAsia="zh-CN"/>
        </w:rPr>
        <w:t>账号</w:t>
      </w:r>
      <w:r>
        <w:rPr>
          <w:rFonts w:hint="eastAsia"/>
          <w:lang w:val="en-US" w:eastAsia="zh-CN"/>
        </w:rPr>
        <w:t>、</w:t>
      </w:r>
      <w:r>
        <w:rPr>
          <w:rFonts w:hint="eastAsia" w:asciiTheme="minorEastAsia" w:hAnsiTheme="minorEastAsia"/>
          <w:sz w:val="21"/>
          <w:szCs w:val="21"/>
          <w:lang w:val="en-US" w:eastAsia="zh-CN"/>
        </w:rPr>
        <w:t>证券期权</w:t>
      </w:r>
      <w:r>
        <w:rPr>
          <w:rFonts w:hint="eastAsia" w:asciiTheme="minorEastAsia" w:hAnsiTheme="minorEastAsia"/>
          <w:sz w:val="21"/>
          <w:szCs w:val="21"/>
          <w:lang w:eastAsia="zh-CN"/>
        </w:rPr>
        <w:t>账号</w:t>
      </w:r>
      <w:r>
        <w:rPr>
          <w:rFonts w:hint="eastAsia"/>
          <w:lang w:val="en-US" w:eastAsia="zh-CN"/>
        </w:rPr>
        <w:t>、期货账号。</w:t>
      </w:r>
    </w:p>
    <w:p w14:paraId="577B5E72">
      <w:pPr>
        <w:keepNext w:val="0"/>
        <w:keepLines w:val="0"/>
        <w:pageBreakBefore w:val="0"/>
        <w:widowControl w:val="0"/>
        <w:numPr>
          <w:ilvl w:val="0"/>
          <w:numId w:val="9"/>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证券代码</w:t>
      </w:r>
    </w:p>
    <w:p w14:paraId="53C0F5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lang w:val="en-US" w:eastAsia="zh-CN"/>
        </w:rPr>
      </w:pPr>
      <w:r>
        <w:rPr>
          <w:rFonts w:hint="eastAsia"/>
          <w:lang w:val="en-US" w:eastAsia="zh-CN"/>
        </w:rPr>
        <w:t>输入数字或字母，可以模糊匹配合约代码首位或者合约名称首位。</w:t>
      </w:r>
    </w:p>
    <w:p w14:paraId="752EAC14">
      <w:pPr>
        <w:keepNext w:val="0"/>
        <w:keepLines w:val="0"/>
        <w:pageBreakBefore w:val="0"/>
        <w:widowControl w:val="0"/>
        <w:numPr>
          <w:ilvl w:val="0"/>
          <w:numId w:val="9"/>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交易市场</w:t>
      </w:r>
    </w:p>
    <w:p w14:paraId="2CEA15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lang w:val="en-US" w:eastAsia="zh-CN"/>
        </w:rPr>
      </w:pPr>
      <w:r>
        <w:rPr>
          <w:rFonts w:hint="eastAsia"/>
          <w:lang w:val="en-US" w:eastAsia="zh-CN"/>
        </w:rPr>
        <w:t>选中合约后自动带出，不可修改。</w:t>
      </w:r>
    </w:p>
    <w:p w14:paraId="2108B16D">
      <w:pPr>
        <w:keepNext w:val="0"/>
        <w:keepLines w:val="0"/>
        <w:pageBreakBefore w:val="0"/>
        <w:widowControl w:val="0"/>
        <w:numPr>
          <w:ilvl w:val="0"/>
          <w:numId w:val="9"/>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交易方向</w:t>
      </w:r>
    </w:p>
    <w:p w14:paraId="2D051CC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lang w:val="en-US" w:eastAsia="zh-CN"/>
        </w:rPr>
      </w:pPr>
      <w:r>
        <w:rPr>
          <w:rFonts w:hint="eastAsia"/>
          <w:lang w:val="en-US" w:eastAsia="zh-CN"/>
        </w:rPr>
        <w:t>根据不同市场的合约，可以选择不同的交易方向。</w:t>
      </w:r>
    </w:p>
    <w:p w14:paraId="7DDFD76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sz w:val="21"/>
          <w:szCs w:val="21"/>
          <w:lang w:eastAsia="zh-CN"/>
        </w:rPr>
      </w:pPr>
      <w:r>
        <w:rPr>
          <w:rFonts w:hint="eastAsia" w:asciiTheme="minorEastAsia" w:hAnsiTheme="minorEastAsia"/>
          <w:sz w:val="21"/>
          <w:szCs w:val="21"/>
          <w:lang w:val="en-US" w:eastAsia="zh-CN"/>
        </w:rPr>
        <w:t>证券现货</w:t>
      </w:r>
      <w:r>
        <w:rPr>
          <w:rFonts w:hint="eastAsia" w:asciiTheme="minorEastAsia" w:hAnsiTheme="minorEastAsia"/>
          <w:sz w:val="21"/>
          <w:szCs w:val="21"/>
          <w:lang w:eastAsia="zh-CN"/>
        </w:rPr>
        <w:t>账号</w:t>
      </w:r>
    </w:p>
    <w:p w14:paraId="273E1C8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sz w:val="21"/>
          <w:szCs w:val="21"/>
          <w:lang w:eastAsia="zh-CN"/>
        </w:rPr>
      </w:pPr>
      <w:r>
        <w:drawing>
          <wp:inline distT="0" distB="0" distL="114300" distR="114300">
            <wp:extent cx="5133975" cy="2438400"/>
            <wp:effectExtent l="0" t="0" r="9525" b="0"/>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80"/>
                    <a:stretch>
                      <a:fillRect/>
                    </a:stretch>
                  </pic:blipFill>
                  <pic:spPr>
                    <a:xfrm>
                      <a:off x="0" y="0"/>
                      <a:ext cx="5133975" cy="2438400"/>
                    </a:xfrm>
                    <a:prstGeom prst="rect">
                      <a:avLst/>
                    </a:prstGeom>
                    <a:noFill/>
                    <a:ln>
                      <a:noFill/>
                    </a:ln>
                  </pic:spPr>
                </pic:pic>
              </a:graphicData>
            </a:graphic>
          </wp:inline>
        </w:drawing>
      </w:r>
    </w:p>
    <w:p w14:paraId="3BA2036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sz w:val="21"/>
          <w:szCs w:val="21"/>
          <w:lang w:eastAsia="zh-CN"/>
        </w:rPr>
      </w:pPr>
      <w:r>
        <w:rPr>
          <w:rFonts w:hint="eastAsia" w:asciiTheme="minorEastAsia" w:hAnsiTheme="minorEastAsia"/>
          <w:sz w:val="21"/>
          <w:szCs w:val="21"/>
          <w:lang w:val="en-US" w:eastAsia="zh-CN"/>
        </w:rPr>
        <w:t>证券期权</w:t>
      </w:r>
      <w:r>
        <w:rPr>
          <w:rFonts w:hint="eastAsia" w:asciiTheme="minorEastAsia" w:hAnsiTheme="minorEastAsia"/>
          <w:sz w:val="21"/>
          <w:szCs w:val="21"/>
          <w:lang w:eastAsia="zh-CN"/>
        </w:rPr>
        <w:t>账号</w:t>
      </w:r>
    </w:p>
    <w:p w14:paraId="7D76FE4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sz w:val="21"/>
          <w:szCs w:val="21"/>
          <w:lang w:val="en-US" w:eastAsia="zh-CN"/>
        </w:rPr>
      </w:pPr>
      <w:r>
        <w:drawing>
          <wp:inline distT="0" distB="0" distL="114300" distR="114300">
            <wp:extent cx="4991100" cy="2400300"/>
            <wp:effectExtent l="0" t="0" r="0" b="0"/>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81"/>
                    <a:stretch>
                      <a:fillRect/>
                    </a:stretch>
                  </pic:blipFill>
                  <pic:spPr>
                    <a:xfrm>
                      <a:off x="0" y="0"/>
                      <a:ext cx="4991100" cy="2400300"/>
                    </a:xfrm>
                    <a:prstGeom prst="rect">
                      <a:avLst/>
                    </a:prstGeom>
                    <a:noFill/>
                    <a:ln>
                      <a:noFill/>
                    </a:ln>
                  </pic:spPr>
                </pic:pic>
              </a:graphicData>
            </a:graphic>
          </wp:inline>
        </w:drawing>
      </w:r>
    </w:p>
    <w:p w14:paraId="2252DE7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期货账号</w:t>
      </w:r>
    </w:p>
    <w:p w14:paraId="65BFC2F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5162550" cy="2809875"/>
            <wp:effectExtent l="0" t="0" r="0" b="9525"/>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82"/>
                    <a:stretch>
                      <a:fillRect/>
                    </a:stretch>
                  </pic:blipFill>
                  <pic:spPr>
                    <a:xfrm>
                      <a:off x="0" y="0"/>
                      <a:ext cx="5162550" cy="2809875"/>
                    </a:xfrm>
                    <a:prstGeom prst="rect">
                      <a:avLst/>
                    </a:prstGeom>
                    <a:noFill/>
                    <a:ln>
                      <a:noFill/>
                    </a:ln>
                  </pic:spPr>
                </pic:pic>
              </a:graphicData>
            </a:graphic>
          </wp:inline>
        </w:drawing>
      </w:r>
    </w:p>
    <w:p w14:paraId="4FF3CB5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71770" cy="2848610"/>
            <wp:effectExtent l="0" t="0" r="5080" b="8890"/>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83"/>
                    <a:stretch>
                      <a:fillRect/>
                    </a:stretch>
                  </pic:blipFill>
                  <pic:spPr>
                    <a:xfrm>
                      <a:off x="0" y="0"/>
                      <a:ext cx="5271770" cy="2848610"/>
                    </a:xfrm>
                    <a:prstGeom prst="rect">
                      <a:avLst/>
                    </a:prstGeom>
                    <a:noFill/>
                    <a:ln>
                      <a:noFill/>
                    </a:ln>
                  </pic:spPr>
                </pic:pic>
              </a:graphicData>
            </a:graphic>
          </wp:inline>
        </w:drawing>
      </w:r>
    </w:p>
    <w:p w14:paraId="7EEF9605">
      <w:pPr>
        <w:keepNext w:val="0"/>
        <w:keepLines w:val="0"/>
        <w:pageBreakBefore w:val="0"/>
        <w:widowControl w:val="0"/>
        <w:numPr>
          <w:ilvl w:val="0"/>
          <w:numId w:val="9"/>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主动/被动</w:t>
      </w:r>
    </w:p>
    <w:p w14:paraId="27D068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在策略创建，添加标的时，提供“主动”和“被动”两个选项，这个参数影响的是策略执行时不同标的的下单顺序，当满足策略执行的触发条件时，设为主动的标的(称为“主动腿”会率先下单，设为“被动”的标的（称为“被动腿”〉需等主动腿全部成交后再下单。</w:t>
      </w:r>
    </w:p>
    <w:p w14:paraId="36ADD37E">
      <w:pPr>
        <w:rPr>
          <w:rFonts w:asciiTheme="minorEastAsia" w:hAnsiTheme="minorEastAsia"/>
          <w:sz w:val="21"/>
          <w:szCs w:val="21"/>
          <w:lang w:eastAsia="zh-CN"/>
        </w:rPr>
      </w:pPr>
      <w:r>
        <w:rPr>
          <w:rFonts w:asciiTheme="minorEastAsia" w:hAnsiTheme="minorEastAsia"/>
          <w:sz w:val="21"/>
          <w:szCs w:val="21"/>
          <w:lang w:eastAsia="zh-CN"/>
        </w:rPr>
        <w:drawing>
          <wp:inline distT="0" distB="0" distL="114300" distR="114300">
            <wp:extent cx="4973955" cy="1456690"/>
            <wp:effectExtent l="0" t="0" r="17145" b="10160"/>
            <wp:docPr id="514" name="图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514"/>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4973955" cy="1456690"/>
                    </a:xfrm>
                    <a:prstGeom prst="rect">
                      <a:avLst/>
                    </a:prstGeom>
                  </pic:spPr>
                </pic:pic>
              </a:graphicData>
            </a:graphic>
          </wp:inline>
        </w:drawing>
      </w:r>
    </w:p>
    <w:p w14:paraId="77F7D1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注意：目前一个策略组合下，主动腿标的只允许设置1个，一般情况下，会把流动性较差的标的设为主动腿，流动性较好的标的设为被动腿。若标的之间的流动性相差不大，都可以瞬时成交，可以把全部标的都设为被动腿，此时满足策略触发条件后，所有标的将同时下单。</w:t>
      </w:r>
    </w:p>
    <w:p w14:paraId="67FC838B">
      <w:pPr>
        <w:keepNext w:val="0"/>
        <w:keepLines w:val="0"/>
        <w:pageBreakBefore w:val="0"/>
        <w:widowControl w:val="0"/>
        <w:numPr>
          <w:ilvl w:val="0"/>
          <w:numId w:val="9"/>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委托数量</w:t>
      </w:r>
    </w:p>
    <w:p w14:paraId="64FC56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lang w:val="en-US" w:eastAsia="zh-CN"/>
        </w:rPr>
      </w:pPr>
      <w:r>
        <w:rPr>
          <w:rFonts w:hint="eastAsia"/>
          <w:lang w:val="en-US" w:eastAsia="zh-CN"/>
        </w:rPr>
        <w:t>非负整数，当资产账号为</w:t>
      </w:r>
      <w:r>
        <w:rPr>
          <w:rFonts w:hint="eastAsia" w:asciiTheme="minorEastAsia" w:hAnsiTheme="minorEastAsia"/>
          <w:sz w:val="21"/>
          <w:szCs w:val="21"/>
          <w:lang w:val="en-US" w:eastAsia="zh-CN"/>
        </w:rPr>
        <w:t>证券现货</w:t>
      </w:r>
      <w:r>
        <w:rPr>
          <w:rFonts w:hint="eastAsia" w:asciiTheme="minorEastAsia" w:hAnsiTheme="minorEastAsia"/>
          <w:sz w:val="21"/>
          <w:szCs w:val="21"/>
          <w:lang w:eastAsia="zh-CN"/>
        </w:rPr>
        <w:t>账号</w:t>
      </w:r>
      <w:r>
        <w:rPr>
          <w:rFonts w:hint="eastAsia"/>
          <w:lang w:val="en-US" w:eastAsia="zh-CN"/>
        </w:rPr>
        <w:t>时，委托数量必须为100的整数。</w:t>
      </w:r>
    </w:p>
    <w:p w14:paraId="704E5390">
      <w:pPr>
        <w:keepNext w:val="0"/>
        <w:keepLines w:val="0"/>
        <w:pageBreakBefore w:val="0"/>
        <w:widowControl w:val="0"/>
        <w:numPr>
          <w:ilvl w:val="0"/>
          <w:numId w:val="9"/>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下单价</w:t>
      </w:r>
    </w:p>
    <w:p w14:paraId="4EC00A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default"/>
          <w:lang w:val="en-US" w:eastAsia="zh-CN"/>
        </w:rPr>
      </w:pPr>
      <w:r>
        <w:rPr>
          <w:rFonts w:hint="eastAsia"/>
          <w:lang w:val="en-US" w:eastAsia="zh-CN"/>
        </w:rPr>
        <w:t>下拉框选项，可选择对手价、最新价、挂单价、盘口价、涨停价、跌停价。</w:t>
      </w:r>
    </w:p>
    <w:p w14:paraId="45B000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lang w:val="en-US" w:eastAsia="zh-CN"/>
        </w:rPr>
      </w:pPr>
      <w:r>
        <w:rPr>
          <w:rFonts w:hint="eastAsia"/>
          <w:lang w:val="en-US" w:eastAsia="zh-CN"/>
        </w:rPr>
        <w:t>在策略创建，添加标的时，在“下单价”这一列可输入标的的下单价格，当满足策略执行的触发条件时，每个标的都会按满足触发条件的这一时刻的“下单价和下单超价”行情进行委托报单。</w:t>
      </w:r>
    </w:p>
    <w:p w14:paraId="2CE500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lang w:val="en-US" w:eastAsia="zh-CN"/>
        </w:rPr>
      </w:pPr>
      <w:r>
        <w:rPr>
          <w:rFonts w:hint="eastAsia"/>
          <w:lang w:val="en-US" w:eastAsia="zh-CN"/>
        </w:rPr>
        <w:t>下单价的行情取值与标的交易方向的关系见下表：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476"/>
        <w:gridCol w:w="2551"/>
        <w:gridCol w:w="2410"/>
      </w:tblGrid>
      <w:tr w14:paraId="6FCD6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76" w:type="dxa"/>
          </w:tcPr>
          <w:p w14:paraId="17C9FCD8">
            <w:pPr>
              <w:ind w:firstLine="632" w:firstLineChars="300"/>
              <w:rPr>
                <w:rFonts w:asciiTheme="minorEastAsia" w:hAnsiTheme="minorEastAsia"/>
                <w:b/>
                <w:bCs/>
                <w:sz w:val="21"/>
                <w:szCs w:val="21"/>
                <w:lang w:eastAsia="zh-CN"/>
              </w:rPr>
            </w:pPr>
            <w:r>
              <w:rPr>
                <w:rFonts w:hint="eastAsia" w:asciiTheme="minorEastAsia" w:hAnsiTheme="minorEastAsia"/>
                <w:b/>
                <w:bCs/>
                <w:sz w:val="21"/>
                <w:szCs w:val="21"/>
                <w:lang w:eastAsia="zh-CN"/>
              </w:rPr>
              <w:t>下单价选项</w:t>
            </w:r>
          </w:p>
        </w:tc>
        <w:tc>
          <w:tcPr>
            <w:tcW w:w="2551" w:type="dxa"/>
          </w:tcPr>
          <w:p w14:paraId="3AF5AE48">
            <w:pPr>
              <w:pStyle w:val="31"/>
              <w:jc w:val="center"/>
              <w:rPr>
                <w:rFonts w:asciiTheme="minorEastAsia" w:hAnsiTheme="minorEastAsia"/>
                <w:b/>
                <w:bCs/>
                <w:sz w:val="21"/>
                <w:szCs w:val="21"/>
                <w:lang w:eastAsia="zh-CN"/>
              </w:rPr>
            </w:pPr>
            <w:r>
              <w:rPr>
                <w:rFonts w:hint="eastAsia" w:asciiTheme="minorEastAsia" w:hAnsiTheme="minorEastAsia"/>
                <w:b/>
                <w:bCs/>
                <w:sz w:val="21"/>
                <w:szCs w:val="21"/>
                <w:lang w:eastAsia="zh-CN"/>
              </w:rPr>
              <w:t>买方向标的</w:t>
            </w:r>
          </w:p>
        </w:tc>
        <w:tc>
          <w:tcPr>
            <w:tcW w:w="2410" w:type="dxa"/>
          </w:tcPr>
          <w:p w14:paraId="7E2BC264">
            <w:pPr>
              <w:pStyle w:val="31"/>
              <w:jc w:val="center"/>
              <w:rPr>
                <w:rFonts w:asciiTheme="minorEastAsia" w:hAnsiTheme="minorEastAsia"/>
                <w:b/>
                <w:bCs/>
                <w:sz w:val="21"/>
                <w:szCs w:val="21"/>
                <w:lang w:eastAsia="zh-CN"/>
              </w:rPr>
            </w:pPr>
            <w:r>
              <w:rPr>
                <w:rFonts w:hint="eastAsia" w:asciiTheme="minorEastAsia" w:hAnsiTheme="minorEastAsia"/>
                <w:b/>
                <w:bCs/>
                <w:sz w:val="21"/>
                <w:szCs w:val="21"/>
                <w:lang w:eastAsia="zh-CN"/>
              </w:rPr>
              <w:t>卖方向标的</w:t>
            </w:r>
          </w:p>
        </w:tc>
      </w:tr>
      <w:tr w14:paraId="261C7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76" w:type="dxa"/>
          </w:tcPr>
          <w:p w14:paraId="35D0AD9B">
            <w:pPr>
              <w:pStyle w:val="31"/>
              <w:jc w:val="center"/>
              <w:rPr>
                <w:rFonts w:asciiTheme="minorEastAsia" w:hAnsiTheme="minorEastAsia"/>
                <w:sz w:val="21"/>
                <w:szCs w:val="21"/>
                <w:lang w:eastAsia="zh-CN"/>
              </w:rPr>
            </w:pPr>
            <w:r>
              <w:rPr>
                <w:rFonts w:hint="eastAsia" w:asciiTheme="minorEastAsia" w:hAnsiTheme="minorEastAsia"/>
                <w:sz w:val="21"/>
                <w:szCs w:val="21"/>
                <w:lang w:eastAsia="zh-CN"/>
              </w:rPr>
              <w:t>对手价</w:t>
            </w:r>
          </w:p>
        </w:tc>
        <w:tc>
          <w:tcPr>
            <w:tcW w:w="2551" w:type="dxa"/>
          </w:tcPr>
          <w:p w14:paraId="21A0E5A8">
            <w:pPr>
              <w:pStyle w:val="31"/>
              <w:jc w:val="center"/>
              <w:rPr>
                <w:rFonts w:asciiTheme="minorEastAsia" w:hAnsiTheme="minorEastAsia"/>
                <w:sz w:val="21"/>
                <w:szCs w:val="21"/>
                <w:lang w:eastAsia="zh-CN"/>
              </w:rPr>
            </w:pPr>
            <w:r>
              <w:rPr>
                <w:rFonts w:hint="eastAsia" w:asciiTheme="minorEastAsia" w:hAnsiTheme="minorEastAsia"/>
                <w:sz w:val="21"/>
                <w:szCs w:val="21"/>
                <w:lang w:eastAsia="zh-CN"/>
              </w:rPr>
              <w:t>卖一价</w:t>
            </w:r>
          </w:p>
        </w:tc>
        <w:tc>
          <w:tcPr>
            <w:tcW w:w="2410" w:type="dxa"/>
          </w:tcPr>
          <w:p w14:paraId="34972969">
            <w:pPr>
              <w:pStyle w:val="31"/>
              <w:jc w:val="center"/>
              <w:rPr>
                <w:rFonts w:asciiTheme="minorEastAsia" w:hAnsiTheme="minorEastAsia"/>
                <w:sz w:val="21"/>
                <w:szCs w:val="21"/>
                <w:lang w:eastAsia="zh-CN"/>
              </w:rPr>
            </w:pPr>
            <w:r>
              <w:rPr>
                <w:rFonts w:hint="eastAsia" w:asciiTheme="minorEastAsia" w:hAnsiTheme="minorEastAsia"/>
                <w:sz w:val="21"/>
                <w:szCs w:val="21"/>
                <w:lang w:eastAsia="zh-CN"/>
              </w:rPr>
              <w:t>买一价</w:t>
            </w:r>
          </w:p>
        </w:tc>
      </w:tr>
      <w:tr w14:paraId="1DDC0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76" w:type="dxa"/>
          </w:tcPr>
          <w:p w14:paraId="2C1A3911">
            <w:pPr>
              <w:pStyle w:val="31"/>
              <w:jc w:val="center"/>
              <w:rPr>
                <w:rFonts w:asciiTheme="minorEastAsia" w:hAnsiTheme="minorEastAsia"/>
                <w:sz w:val="21"/>
                <w:szCs w:val="21"/>
                <w:lang w:eastAsia="zh-CN"/>
              </w:rPr>
            </w:pPr>
            <w:r>
              <w:rPr>
                <w:rFonts w:hint="eastAsia" w:asciiTheme="minorEastAsia" w:hAnsiTheme="minorEastAsia"/>
                <w:sz w:val="21"/>
                <w:szCs w:val="21"/>
                <w:lang w:eastAsia="zh-CN"/>
              </w:rPr>
              <w:t>最新价</w:t>
            </w:r>
          </w:p>
        </w:tc>
        <w:tc>
          <w:tcPr>
            <w:tcW w:w="2551" w:type="dxa"/>
          </w:tcPr>
          <w:p w14:paraId="050C13D3">
            <w:pPr>
              <w:pStyle w:val="31"/>
              <w:jc w:val="center"/>
              <w:rPr>
                <w:rFonts w:asciiTheme="minorEastAsia" w:hAnsiTheme="minorEastAsia"/>
                <w:sz w:val="21"/>
                <w:szCs w:val="21"/>
                <w:lang w:eastAsia="zh-CN"/>
              </w:rPr>
            </w:pPr>
            <w:r>
              <w:rPr>
                <w:rFonts w:hint="eastAsia" w:asciiTheme="minorEastAsia" w:hAnsiTheme="minorEastAsia"/>
                <w:sz w:val="21"/>
                <w:szCs w:val="21"/>
                <w:lang w:eastAsia="zh-CN"/>
              </w:rPr>
              <w:t>最新价</w:t>
            </w:r>
          </w:p>
        </w:tc>
        <w:tc>
          <w:tcPr>
            <w:tcW w:w="2410" w:type="dxa"/>
          </w:tcPr>
          <w:p w14:paraId="3B61468A">
            <w:pPr>
              <w:pStyle w:val="31"/>
              <w:jc w:val="center"/>
              <w:rPr>
                <w:rFonts w:asciiTheme="minorEastAsia" w:hAnsiTheme="minorEastAsia"/>
                <w:sz w:val="21"/>
                <w:szCs w:val="21"/>
                <w:lang w:eastAsia="zh-CN"/>
              </w:rPr>
            </w:pPr>
            <w:r>
              <w:rPr>
                <w:rFonts w:hint="eastAsia" w:asciiTheme="minorEastAsia" w:hAnsiTheme="minorEastAsia"/>
                <w:sz w:val="21"/>
                <w:szCs w:val="21"/>
                <w:lang w:eastAsia="zh-CN"/>
              </w:rPr>
              <w:t>最新价</w:t>
            </w:r>
          </w:p>
        </w:tc>
      </w:tr>
      <w:tr w14:paraId="1140D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76" w:type="dxa"/>
          </w:tcPr>
          <w:p w14:paraId="1C32CF37">
            <w:pPr>
              <w:pStyle w:val="31"/>
              <w:jc w:val="center"/>
              <w:rPr>
                <w:rFonts w:asciiTheme="minorEastAsia" w:hAnsiTheme="minorEastAsia"/>
                <w:sz w:val="21"/>
                <w:szCs w:val="21"/>
                <w:lang w:eastAsia="zh-CN"/>
              </w:rPr>
            </w:pPr>
            <w:r>
              <w:rPr>
                <w:rFonts w:hint="eastAsia" w:asciiTheme="minorEastAsia" w:hAnsiTheme="minorEastAsia"/>
                <w:sz w:val="21"/>
                <w:szCs w:val="21"/>
                <w:lang w:eastAsia="zh-CN"/>
              </w:rPr>
              <w:t>挂单价</w:t>
            </w:r>
          </w:p>
        </w:tc>
        <w:tc>
          <w:tcPr>
            <w:tcW w:w="2551" w:type="dxa"/>
          </w:tcPr>
          <w:p w14:paraId="6444358A">
            <w:pPr>
              <w:pStyle w:val="31"/>
              <w:jc w:val="center"/>
              <w:rPr>
                <w:rFonts w:asciiTheme="minorEastAsia" w:hAnsiTheme="minorEastAsia"/>
                <w:sz w:val="21"/>
                <w:szCs w:val="21"/>
                <w:lang w:eastAsia="zh-CN"/>
              </w:rPr>
            </w:pPr>
            <w:r>
              <w:rPr>
                <w:rFonts w:hint="eastAsia" w:asciiTheme="minorEastAsia" w:hAnsiTheme="minorEastAsia"/>
                <w:sz w:val="21"/>
                <w:szCs w:val="21"/>
                <w:lang w:eastAsia="zh-CN"/>
              </w:rPr>
              <w:t>买一价</w:t>
            </w:r>
          </w:p>
        </w:tc>
        <w:tc>
          <w:tcPr>
            <w:tcW w:w="2410" w:type="dxa"/>
          </w:tcPr>
          <w:p w14:paraId="27C6D0B1">
            <w:pPr>
              <w:pStyle w:val="31"/>
              <w:jc w:val="center"/>
              <w:rPr>
                <w:rFonts w:asciiTheme="minorEastAsia" w:hAnsiTheme="minorEastAsia"/>
                <w:sz w:val="21"/>
                <w:szCs w:val="21"/>
                <w:lang w:eastAsia="zh-CN"/>
              </w:rPr>
            </w:pPr>
            <w:r>
              <w:rPr>
                <w:rFonts w:hint="eastAsia" w:asciiTheme="minorEastAsia" w:hAnsiTheme="minorEastAsia"/>
                <w:sz w:val="21"/>
                <w:szCs w:val="21"/>
                <w:lang w:eastAsia="zh-CN"/>
              </w:rPr>
              <w:t>卖一价</w:t>
            </w:r>
          </w:p>
        </w:tc>
      </w:tr>
      <w:tr w14:paraId="1F5DD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76" w:type="dxa"/>
          </w:tcPr>
          <w:p w14:paraId="0063C81F">
            <w:pPr>
              <w:pStyle w:val="31"/>
              <w:jc w:val="center"/>
              <w:rPr>
                <w:rFonts w:asciiTheme="minorEastAsia" w:hAnsiTheme="minorEastAsia"/>
                <w:sz w:val="21"/>
                <w:szCs w:val="21"/>
                <w:lang w:eastAsia="zh-CN"/>
              </w:rPr>
            </w:pPr>
            <w:r>
              <w:rPr>
                <w:rFonts w:hint="eastAsia" w:asciiTheme="minorEastAsia" w:hAnsiTheme="minorEastAsia"/>
                <w:sz w:val="21"/>
                <w:szCs w:val="21"/>
                <w:lang w:eastAsia="zh-CN"/>
              </w:rPr>
              <w:t>盘口价</w:t>
            </w:r>
          </w:p>
        </w:tc>
        <w:tc>
          <w:tcPr>
            <w:tcW w:w="4961" w:type="dxa"/>
            <w:gridSpan w:val="2"/>
          </w:tcPr>
          <w:p w14:paraId="32D137FE">
            <w:pPr>
              <w:pStyle w:val="31"/>
              <w:jc w:val="center"/>
              <w:rPr>
                <w:rFonts w:asciiTheme="minorEastAsia" w:hAnsiTheme="minorEastAsia"/>
                <w:sz w:val="21"/>
                <w:szCs w:val="21"/>
                <w:lang w:eastAsia="zh-CN"/>
              </w:rPr>
            </w:pPr>
            <w:r>
              <w:rPr>
                <w:rFonts w:hint="eastAsia" w:asciiTheme="minorEastAsia" w:hAnsiTheme="minorEastAsia"/>
                <w:sz w:val="21"/>
                <w:szCs w:val="21"/>
                <w:lang w:eastAsia="zh-CN"/>
              </w:rPr>
              <w:t>对手盘N档加权平均价，N取盘口深度</w:t>
            </w:r>
          </w:p>
        </w:tc>
      </w:tr>
    </w:tbl>
    <w:p w14:paraId="2CC73F1D">
      <w:pPr>
        <w:keepNext w:val="0"/>
        <w:keepLines w:val="0"/>
        <w:pageBreakBefore w:val="0"/>
        <w:widowControl w:val="0"/>
        <w:numPr>
          <w:ilvl w:val="0"/>
          <w:numId w:val="9"/>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下单超价</w:t>
      </w:r>
    </w:p>
    <w:p w14:paraId="03B5D4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输入框，必填项，支持输入整数，单位为tick(标的最小变动价格)，正数代表价格往有利成交方向进行报单,负数代表价格往不利成交方向进行报单,默认为0。交易方向为买时，委托价格=下单价+下单超价，交易方向为卖时，委托价格=下单价-下单超价。</w:t>
      </w:r>
    </w:p>
    <w:p w14:paraId="515055C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例:以正数为例</w:t>
      </w:r>
    </w:p>
    <w:p w14:paraId="68A541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多头：下单价：对手价，下单超价：1tick，实际下单价格：对手价+1tick</w:t>
      </w:r>
    </w:p>
    <w:p w14:paraId="1BD38F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asciiTheme="minorEastAsia" w:hAnsiTheme="minorEastAsia"/>
          <w:sz w:val="21"/>
          <w:szCs w:val="21"/>
          <w:lang w:eastAsia="zh-CN"/>
        </w:rPr>
      </w:pPr>
      <w:r>
        <w:rPr>
          <w:rFonts w:hint="eastAsia" w:ascii="宋体" w:hAnsi="宋体" w:eastAsia="宋体" w:cs="宋体"/>
          <w:b w:val="0"/>
          <w:bCs w:val="0"/>
          <w:lang w:val="en-US" w:eastAsia="zh-CN"/>
        </w:rPr>
        <w:t>空头：下单价：对手价，下单超价：1tick，实际下单价格：对手价-1tick</w:t>
      </w:r>
    </w:p>
    <w:p w14:paraId="7BFF6C80">
      <w:pPr>
        <w:keepNext w:val="0"/>
        <w:keepLines w:val="0"/>
        <w:pageBreakBefore w:val="0"/>
        <w:widowControl w:val="0"/>
        <w:numPr>
          <w:ilvl w:val="0"/>
          <w:numId w:val="9"/>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盘口深度</w:t>
      </w:r>
    </w:p>
    <w:p w14:paraId="0CA17C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下单价选择对手价、最新价、挂单价、涨停价、跌停价时，盘口深度默认为一档，不可编辑，下单价选择盘口价时，盘口深度可选择一档、二档、三档、四档、五档、六档、七档、八档、九档、十档、自动。</w:t>
      </w:r>
    </w:p>
    <w:p w14:paraId="537755A7">
      <w:pPr>
        <w:keepNext w:val="0"/>
        <w:keepLines w:val="0"/>
        <w:pageBreakBefore w:val="0"/>
        <w:widowControl w:val="0"/>
        <w:numPr>
          <w:ilvl w:val="0"/>
          <w:numId w:val="9"/>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报价属性</w:t>
      </w:r>
    </w:p>
    <w:p w14:paraId="1397F5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只有资产账号为期货账号时报价属性才可选择，资产账号为证券现货账号、证券期权账号时，报价属性默认为空，不可编辑。</w:t>
      </w:r>
    </w:p>
    <w:p w14:paraId="7F067E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期货各个交易所的报价属性见下表：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7"/>
        <w:gridCol w:w="3682"/>
      </w:tblGrid>
      <w:tr w14:paraId="7720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7" w:type="dxa"/>
          </w:tcPr>
          <w:p w14:paraId="24347962">
            <w:pPr>
              <w:jc w:val="center"/>
              <w:rPr>
                <w:rFonts w:hint="default"/>
                <w:b/>
                <w:bCs/>
                <w:vertAlign w:val="baseline"/>
                <w:lang w:val="en-US" w:eastAsia="zh-CN"/>
              </w:rPr>
            </w:pPr>
            <w:r>
              <w:rPr>
                <w:rFonts w:hint="eastAsia"/>
                <w:b/>
                <w:bCs/>
                <w:vertAlign w:val="baseline"/>
                <w:lang w:val="en-US" w:eastAsia="zh-CN"/>
              </w:rPr>
              <w:t>交易所</w:t>
            </w:r>
          </w:p>
        </w:tc>
        <w:tc>
          <w:tcPr>
            <w:tcW w:w="3682" w:type="dxa"/>
          </w:tcPr>
          <w:p w14:paraId="37CC2FF0">
            <w:pPr>
              <w:jc w:val="center"/>
              <w:rPr>
                <w:rFonts w:hint="default"/>
                <w:b/>
                <w:bCs/>
                <w:vertAlign w:val="baseline"/>
                <w:lang w:val="en-US" w:eastAsia="zh-CN"/>
              </w:rPr>
            </w:pPr>
            <w:r>
              <w:rPr>
                <w:rFonts w:hint="eastAsia"/>
                <w:b/>
                <w:bCs/>
                <w:vertAlign w:val="baseline"/>
                <w:lang w:val="en-US" w:eastAsia="zh-CN"/>
              </w:rPr>
              <w:t>报价属性</w:t>
            </w:r>
          </w:p>
        </w:tc>
      </w:tr>
      <w:tr w14:paraId="7ABA6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7" w:type="dxa"/>
            <w:vMerge w:val="restart"/>
            <w:vAlign w:val="center"/>
          </w:tcPr>
          <w:p w14:paraId="566EDAF2">
            <w:pPr>
              <w:jc w:val="center"/>
              <w:rPr>
                <w:rFonts w:hint="default"/>
                <w:vertAlign w:val="baseline"/>
                <w:lang w:val="en-US" w:eastAsia="zh-CN"/>
              </w:rPr>
            </w:pPr>
            <w:r>
              <w:rPr>
                <w:rFonts w:hint="eastAsia"/>
                <w:vertAlign w:val="baseline"/>
                <w:lang w:val="en-US" w:eastAsia="zh-CN"/>
              </w:rPr>
              <w:t>中金所</w:t>
            </w:r>
          </w:p>
        </w:tc>
        <w:tc>
          <w:tcPr>
            <w:tcW w:w="3682" w:type="dxa"/>
          </w:tcPr>
          <w:p w14:paraId="00FDCEBF">
            <w:pPr>
              <w:jc w:val="center"/>
              <w:rPr>
                <w:rFonts w:hint="eastAsia"/>
                <w:vertAlign w:val="baseline"/>
                <w:lang w:val="en-US" w:eastAsia="zh-CN"/>
              </w:rPr>
            </w:pPr>
            <w:r>
              <w:rPr>
                <w:rFonts w:hint="eastAsia"/>
                <w:vertAlign w:val="baseline"/>
                <w:lang w:val="en-US" w:eastAsia="zh-CN"/>
              </w:rPr>
              <w:t>GFD当日有效</w:t>
            </w:r>
          </w:p>
        </w:tc>
      </w:tr>
      <w:tr w14:paraId="48223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7" w:type="dxa"/>
            <w:vMerge w:val="continue"/>
          </w:tcPr>
          <w:p w14:paraId="27F886EB">
            <w:pPr>
              <w:jc w:val="center"/>
              <w:rPr>
                <w:rFonts w:hint="eastAsia"/>
                <w:vertAlign w:val="baseline"/>
                <w:lang w:val="en-US" w:eastAsia="zh-CN"/>
              </w:rPr>
            </w:pPr>
          </w:p>
        </w:tc>
        <w:tc>
          <w:tcPr>
            <w:tcW w:w="3682" w:type="dxa"/>
          </w:tcPr>
          <w:p w14:paraId="7566117E">
            <w:pPr>
              <w:jc w:val="center"/>
              <w:rPr>
                <w:rFonts w:hint="eastAsia"/>
                <w:vertAlign w:val="baseline"/>
                <w:lang w:val="en-US" w:eastAsia="zh-CN"/>
              </w:rPr>
            </w:pPr>
            <w:r>
              <w:rPr>
                <w:rFonts w:hint="eastAsia"/>
                <w:vertAlign w:val="baseline"/>
                <w:lang w:val="en-US" w:eastAsia="zh-CN"/>
              </w:rPr>
              <w:t>FAK任意成交剩余撤销</w:t>
            </w:r>
          </w:p>
        </w:tc>
      </w:tr>
      <w:tr w14:paraId="06C36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7" w:type="dxa"/>
            <w:vMerge w:val="continue"/>
          </w:tcPr>
          <w:p w14:paraId="06062805">
            <w:pPr>
              <w:jc w:val="center"/>
              <w:rPr>
                <w:rFonts w:hint="eastAsia"/>
                <w:vertAlign w:val="baseline"/>
                <w:lang w:val="en-US" w:eastAsia="zh-CN"/>
              </w:rPr>
            </w:pPr>
          </w:p>
        </w:tc>
        <w:tc>
          <w:tcPr>
            <w:tcW w:w="3682" w:type="dxa"/>
          </w:tcPr>
          <w:p w14:paraId="4728C41A">
            <w:pPr>
              <w:jc w:val="center"/>
              <w:rPr>
                <w:rFonts w:hint="eastAsia"/>
                <w:vertAlign w:val="baseline"/>
                <w:lang w:val="en-US" w:eastAsia="zh-CN"/>
              </w:rPr>
            </w:pPr>
            <w:r>
              <w:rPr>
                <w:rFonts w:hint="eastAsia"/>
                <w:vertAlign w:val="baseline"/>
                <w:lang w:val="en-US" w:eastAsia="zh-CN"/>
              </w:rPr>
              <w:t>FOK全部成交或撤销</w:t>
            </w:r>
          </w:p>
        </w:tc>
      </w:tr>
      <w:tr w14:paraId="77902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457" w:type="dxa"/>
            <w:vMerge w:val="restart"/>
            <w:vAlign w:val="center"/>
          </w:tcPr>
          <w:p w14:paraId="3E3E4502">
            <w:pPr>
              <w:jc w:val="center"/>
              <w:rPr>
                <w:rFonts w:hint="eastAsia"/>
                <w:vertAlign w:val="baseline"/>
                <w:lang w:val="en-US" w:eastAsia="zh-CN"/>
              </w:rPr>
            </w:pPr>
            <w:r>
              <w:rPr>
                <w:rFonts w:hint="eastAsia" w:asciiTheme="minorEastAsia" w:hAnsiTheme="minorEastAsia"/>
                <w:sz w:val="21"/>
                <w:szCs w:val="21"/>
                <w:lang w:eastAsia="zh-CN"/>
              </w:rPr>
              <w:t>上期所</w:t>
            </w:r>
          </w:p>
        </w:tc>
        <w:tc>
          <w:tcPr>
            <w:tcW w:w="3682" w:type="dxa"/>
            <w:shd w:val="clear" w:color="auto" w:fill="auto"/>
            <w:vAlign w:val="top"/>
          </w:tcPr>
          <w:p w14:paraId="67C3EA1E">
            <w:pPr>
              <w:jc w:val="cente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GFD当日有效</w:t>
            </w:r>
          </w:p>
        </w:tc>
      </w:tr>
      <w:tr w14:paraId="3022B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7" w:type="dxa"/>
            <w:vMerge w:val="continue"/>
          </w:tcPr>
          <w:p w14:paraId="18281204">
            <w:pPr>
              <w:jc w:val="center"/>
              <w:rPr>
                <w:rFonts w:hint="eastAsia" w:asciiTheme="minorEastAsia" w:hAnsiTheme="minorEastAsia"/>
                <w:sz w:val="21"/>
                <w:szCs w:val="21"/>
                <w:lang w:eastAsia="zh-CN"/>
              </w:rPr>
            </w:pPr>
          </w:p>
        </w:tc>
        <w:tc>
          <w:tcPr>
            <w:tcW w:w="3682" w:type="dxa"/>
            <w:shd w:val="clear" w:color="auto" w:fill="auto"/>
            <w:vAlign w:val="top"/>
          </w:tcPr>
          <w:p w14:paraId="798E37A4">
            <w:pPr>
              <w:jc w:val="cente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FAK任意成交剩余撤销</w:t>
            </w:r>
          </w:p>
        </w:tc>
      </w:tr>
      <w:tr w14:paraId="17EFF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7" w:type="dxa"/>
            <w:vMerge w:val="continue"/>
          </w:tcPr>
          <w:p w14:paraId="36CF11BB">
            <w:pPr>
              <w:jc w:val="center"/>
              <w:rPr>
                <w:rFonts w:hint="eastAsia" w:asciiTheme="minorEastAsia" w:hAnsiTheme="minorEastAsia"/>
                <w:sz w:val="21"/>
                <w:szCs w:val="21"/>
                <w:lang w:eastAsia="zh-CN"/>
              </w:rPr>
            </w:pPr>
          </w:p>
        </w:tc>
        <w:tc>
          <w:tcPr>
            <w:tcW w:w="3682" w:type="dxa"/>
            <w:shd w:val="clear" w:color="auto" w:fill="auto"/>
            <w:vAlign w:val="top"/>
          </w:tcPr>
          <w:p w14:paraId="7B934CB5">
            <w:pPr>
              <w:jc w:val="cente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FOK全部成交或撤销</w:t>
            </w:r>
          </w:p>
        </w:tc>
      </w:tr>
      <w:tr w14:paraId="3D04B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7" w:type="dxa"/>
            <w:vMerge w:val="restart"/>
            <w:vAlign w:val="center"/>
          </w:tcPr>
          <w:p w14:paraId="35A6B9B4">
            <w:pPr>
              <w:jc w:val="center"/>
              <w:rPr>
                <w:rFonts w:hint="eastAsia"/>
                <w:vertAlign w:val="baseline"/>
                <w:lang w:val="en-US" w:eastAsia="zh-CN"/>
              </w:rPr>
            </w:pPr>
            <w:r>
              <w:rPr>
                <w:rFonts w:hint="eastAsia" w:asciiTheme="minorEastAsia" w:hAnsiTheme="minorEastAsia"/>
                <w:sz w:val="21"/>
                <w:szCs w:val="21"/>
                <w:lang w:eastAsia="zh-CN"/>
              </w:rPr>
              <w:t>上能源</w:t>
            </w:r>
          </w:p>
        </w:tc>
        <w:tc>
          <w:tcPr>
            <w:tcW w:w="3682" w:type="dxa"/>
            <w:shd w:val="clear" w:color="auto" w:fill="auto"/>
            <w:vAlign w:val="top"/>
          </w:tcPr>
          <w:p w14:paraId="534572DE">
            <w:pPr>
              <w:jc w:val="cente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GFD当日有效</w:t>
            </w:r>
          </w:p>
        </w:tc>
      </w:tr>
      <w:tr w14:paraId="3BC40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7" w:type="dxa"/>
            <w:vMerge w:val="continue"/>
          </w:tcPr>
          <w:p w14:paraId="01BEE3AA">
            <w:pPr>
              <w:jc w:val="center"/>
              <w:rPr>
                <w:rFonts w:hint="eastAsia" w:asciiTheme="minorEastAsia" w:hAnsiTheme="minorEastAsia"/>
                <w:sz w:val="21"/>
                <w:szCs w:val="21"/>
                <w:lang w:eastAsia="zh-CN"/>
              </w:rPr>
            </w:pPr>
          </w:p>
        </w:tc>
        <w:tc>
          <w:tcPr>
            <w:tcW w:w="3682" w:type="dxa"/>
            <w:shd w:val="clear" w:color="auto" w:fill="auto"/>
            <w:vAlign w:val="top"/>
          </w:tcPr>
          <w:p w14:paraId="34317426">
            <w:pPr>
              <w:jc w:val="cente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FAK任意成交剩余撤销</w:t>
            </w:r>
          </w:p>
        </w:tc>
      </w:tr>
      <w:tr w14:paraId="62EC3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457" w:type="dxa"/>
            <w:vMerge w:val="continue"/>
          </w:tcPr>
          <w:p w14:paraId="2BAEB478">
            <w:pPr>
              <w:jc w:val="center"/>
              <w:rPr>
                <w:rFonts w:hint="eastAsia" w:asciiTheme="minorEastAsia" w:hAnsiTheme="minorEastAsia"/>
                <w:sz w:val="21"/>
                <w:szCs w:val="21"/>
                <w:lang w:eastAsia="zh-CN"/>
              </w:rPr>
            </w:pPr>
          </w:p>
        </w:tc>
        <w:tc>
          <w:tcPr>
            <w:tcW w:w="3682" w:type="dxa"/>
            <w:shd w:val="clear" w:color="auto" w:fill="auto"/>
            <w:vAlign w:val="top"/>
          </w:tcPr>
          <w:p w14:paraId="1FEC81E7">
            <w:pPr>
              <w:jc w:val="cente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FOK全部成交或撤销</w:t>
            </w:r>
          </w:p>
        </w:tc>
      </w:tr>
      <w:tr w14:paraId="34A9F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7" w:type="dxa"/>
            <w:vMerge w:val="restart"/>
            <w:vAlign w:val="center"/>
          </w:tcPr>
          <w:p w14:paraId="35534C00">
            <w:pPr>
              <w:jc w:val="center"/>
              <w:rPr>
                <w:rFonts w:hint="eastAsia"/>
                <w:vertAlign w:val="baseline"/>
                <w:lang w:val="en-US" w:eastAsia="zh-CN"/>
              </w:rPr>
            </w:pPr>
            <w:r>
              <w:rPr>
                <w:rFonts w:hint="eastAsia" w:asciiTheme="minorEastAsia" w:hAnsiTheme="minorEastAsia"/>
                <w:sz w:val="21"/>
                <w:szCs w:val="21"/>
                <w:lang w:eastAsia="zh-CN"/>
              </w:rPr>
              <w:t>大商所</w:t>
            </w:r>
          </w:p>
        </w:tc>
        <w:tc>
          <w:tcPr>
            <w:tcW w:w="3682" w:type="dxa"/>
            <w:shd w:val="clear" w:color="auto" w:fill="auto"/>
            <w:vAlign w:val="top"/>
          </w:tcPr>
          <w:p w14:paraId="74CCE6EB">
            <w:pPr>
              <w:jc w:val="cente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GFD当日有效</w:t>
            </w:r>
          </w:p>
        </w:tc>
      </w:tr>
      <w:tr w14:paraId="1A3E8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7" w:type="dxa"/>
            <w:vMerge w:val="continue"/>
          </w:tcPr>
          <w:p w14:paraId="72E2CC39">
            <w:pPr>
              <w:jc w:val="center"/>
              <w:rPr>
                <w:rFonts w:hint="eastAsia" w:asciiTheme="minorEastAsia" w:hAnsiTheme="minorEastAsia"/>
                <w:sz w:val="21"/>
                <w:szCs w:val="21"/>
                <w:lang w:eastAsia="zh-CN"/>
              </w:rPr>
            </w:pPr>
          </w:p>
        </w:tc>
        <w:tc>
          <w:tcPr>
            <w:tcW w:w="3682" w:type="dxa"/>
            <w:shd w:val="clear" w:color="auto" w:fill="auto"/>
            <w:vAlign w:val="top"/>
          </w:tcPr>
          <w:p w14:paraId="554645CF">
            <w:pPr>
              <w:jc w:val="cente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FAK任意成交剩余撤销</w:t>
            </w:r>
          </w:p>
        </w:tc>
      </w:tr>
      <w:tr w14:paraId="42DC6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7" w:type="dxa"/>
            <w:vMerge w:val="continue"/>
          </w:tcPr>
          <w:p w14:paraId="31C5A6DC">
            <w:pPr>
              <w:jc w:val="center"/>
              <w:rPr>
                <w:rFonts w:hint="eastAsia" w:asciiTheme="minorEastAsia" w:hAnsiTheme="minorEastAsia"/>
                <w:sz w:val="21"/>
                <w:szCs w:val="21"/>
                <w:lang w:eastAsia="zh-CN"/>
              </w:rPr>
            </w:pPr>
          </w:p>
        </w:tc>
        <w:tc>
          <w:tcPr>
            <w:tcW w:w="3682" w:type="dxa"/>
            <w:shd w:val="clear" w:color="auto" w:fill="auto"/>
            <w:vAlign w:val="top"/>
          </w:tcPr>
          <w:p w14:paraId="53948DCE">
            <w:pPr>
              <w:jc w:val="cente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FOK全部成交或撤销</w:t>
            </w:r>
          </w:p>
        </w:tc>
      </w:tr>
      <w:tr w14:paraId="57566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7" w:type="dxa"/>
            <w:vMerge w:val="restart"/>
            <w:vAlign w:val="center"/>
          </w:tcPr>
          <w:p w14:paraId="3E6F5FAE">
            <w:pPr>
              <w:jc w:val="center"/>
              <w:rPr>
                <w:rFonts w:hint="eastAsia"/>
                <w:vertAlign w:val="baseline"/>
                <w:lang w:val="en-US" w:eastAsia="zh-CN"/>
              </w:rPr>
            </w:pPr>
            <w:r>
              <w:rPr>
                <w:rFonts w:hint="eastAsia" w:asciiTheme="minorEastAsia" w:hAnsiTheme="minorEastAsia"/>
                <w:sz w:val="21"/>
                <w:szCs w:val="21"/>
                <w:lang w:eastAsia="zh-CN"/>
              </w:rPr>
              <w:t>郑商所</w:t>
            </w:r>
          </w:p>
        </w:tc>
        <w:tc>
          <w:tcPr>
            <w:tcW w:w="3682" w:type="dxa"/>
            <w:shd w:val="clear" w:color="auto" w:fill="auto"/>
            <w:vAlign w:val="top"/>
          </w:tcPr>
          <w:p w14:paraId="5CB8DC7C">
            <w:pPr>
              <w:jc w:val="cente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GFD当日有效</w:t>
            </w:r>
          </w:p>
        </w:tc>
      </w:tr>
      <w:tr w14:paraId="60515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7" w:type="dxa"/>
            <w:vMerge w:val="continue"/>
          </w:tcPr>
          <w:p w14:paraId="3CAE43E9">
            <w:pPr>
              <w:jc w:val="center"/>
              <w:rPr>
                <w:rFonts w:hint="eastAsia" w:asciiTheme="minorEastAsia" w:hAnsiTheme="minorEastAsia"/>
                <w:sz w:val="21"/>
                <w:szCs w:val="21"/>
                <w:lang w:eastAsia="zh-CN"/>
              </w:rPr>
            </w:pPr>
          </w:p>
        </w:tc>
        <w:tc>
          <w:tcPr>
            <w:tcW w:w="3682" w:type="dxa"/>
            <w:shd w:val="clear" w:color="auto" w:fill="auto"/>
            <w:vAlign w:val="top"/>
          </w:tcPr>
          <w:p w14:paraId="409F1FC6">
            <w:pPr>
              <w:jc w:val="cente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FAK任意成交剩余撤销</w:t>
            </w:r>
          </w:p>
        </w:tc>
      </w:tr>
      <w:tr w14:paraId="60548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7" w:type="dxa"/>
          </w:tcPr>
          <w:p w14:paraId="7840E1D2">
            <w:pPr>
              <w:jc w:val="center"/>
              <w:rPr>
                <w:rFonts w:hint="eastAsia"/>
                <w:vertAlign w:val="baseline"/>
                <w:lang w:val="en-US" w:eastAsia="zh-CN"/>
              </w:rPr>
            </w:pPr>
            <w:r>
              <w:rPr>
                <w:rFonts w:hint="eastAsia" w:asciiTheme="minorEastAsia" w:hAnsiTheme="minorEastAsia"/>
                <w:sz w:val="21"/>
                <w:szCs w:val="21"/>
                <w:lang w:eastAsia="zh-CN"/>
              </w:rPr>
              <w:t>广期所</w:t>
            </w:r>
          </w:p>
        </w:tc>
        <w:tc>
          <w:tcPr>
            <w:tcW w:w="3682" w:type="dxa"/>
            <w:shd w:val="clear" w:color="auto" w:fill="auto"/>
            <w:vAlign w:val="top"/>
          </w:tcPr>
          <w:p w14:paraId="479B684D">
            <w:pPr>
              <w:jc w:val="cente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GFD当日有效</w:t>
            </w:r>
          </w:p>
        </w:tc>
      </w:tr>
    </w:tbl>
    <w:p w14:paraId="3481531B">
      <w:pPr>
        <w:keepNext w:val="0"/>
        <w:keepLines w:val="0"/>
        <w:pageBreakBefore w:val="0"/>
        <w:widowControl w:val="0"/>
        <w:numPr>
          <w:ilvl w:val="0"/>
          <w:numId w:val="9"/>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投保标记</w:t>
      </w:r>
    </w:p>
    <w:p w14:paraId="0CC310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只有资产账号为期货账号时投</w:t>
      </w:r>
      <w:r>
        <w:rPr>
          <w:rFonts w:hint="eastAsia"/>
          <w:lang w:val="en-US" w:eastAsia="zh-CN"/>
        </w:rPr>
        <w:t>保</w:t>
      </w:r>
      <w:r>
        <w:rPr>
          <w:rFonts w:hint="eastAsia" w:ascii="宋体" w:hAnsi="宋体" w:eastAsia="宋体" w:cs="宋体"/>
          <w:b w:val="0"/>
          <w:bCs w:val="0"/>
          <w:lang w:val="en-US" w:eastAsia="zh-CN"/>
        </w:rPr>
        <w:t>标记才可选择，资产账号为证券现货账号、证券期权账号时，投</w:t>
      </w:r>
      <w:r>
        <w:rPr>
          <w:rFonts w:hint="eastAsia"/>
          <w:lang w:val="en-US" w:eastAsia="zh-CN"/>
        </w:rPr>
        <w:t>保</w:t>
      </w:r>
      <w:r>
        <w:rPr>
          <w:rFonts w:hint="eastAsia" w:ascii="宋体" w:hAnsi="宋体" w:eastAsia="宋体" w:cs="宋体"/>
          <w:b w:val="0"/>
          <w:bCs w:val="0"/>
          <w:lang w:val="en-US" w:eastAsia="zh-CN"/>
        </w:rPr>
        <w:t>标记默认为空，不可编辑。目前投</w:t>
      </w:r>
      <w:r>
        <w:rPr>
          <w:rFonts w:hint="eastAsia"/>
          <w:lang w:val="en-US" w:eastAsia="zh-CN"/>
        </w:rPr>
        <w:t>保</w:t>
      </w:r>
      <w:r>
        <w:rPr>
          <w:rFonts w:hint="eastAsia" w:ascii="宋体" w:hAnsi="宋体" w:eastAsia="宋体" w:cs="宋体"/>
          <w:b w:val="0"/>
          <w:bCs w:val="0"/>
          <w:lang w:val="en-US" w:eastAsia="zh-CN"/>
        </w:rPr>
        <w:t>标记只支持选择投机。</w:t>
      </w:r>
    </w:p>
    <w:p w14:paraId="791BECF4">
      <w:pPr>
        <w:keepNext w:val="0"/>
        <w:keepLines w:val="0"/>
        <w:pageBreakBefore w:val="0"/>
        <w:widowControl w:val="0"/>
        <w:numPr>
          <w:ilvl w:val="0"/>
          <w:numId w:val="9"/>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基差公式</w:t>
      </w:r>
    </w:p>
    <w:p w14:paraId="79AA5D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输入框，支持数字（小数和整数)、标的序号、买一价、卖一价、最新价、盘口均价（盘口深度N档之内的加权平均价〉以及特定符号（加、减、乘、除、括号和实心点号)，输入方式为“标的序号.价格”(价格系统自动提供，类似!Lsal的方式)，例如:0.8*B.最新价-A.最新价/5.7*100。基差方向可以选择&gt;、&gt;=、&lt;、&lt;=、=，阀值可以输入负数、0，正数。</w:t>
      </w:r>
    </w:p>
    <w:p w14:paraId="1B1BF8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lang w:val="en-US" w:eastAsia="zh-CN"/>
        </w:rPr>
        <w:t>基差公式中，阈值设置整数位需小于等于11位，小数位需小于等于4位。</w:t>
      </w:r>
    </w:p>
    <w:p w14:paraId="778BAF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基差公式下方提示：当基差公式中分母为0时，不计算基差值，不会触发阈值。</w:t>
      </w:r>
    </w:p>
    <w:p w14:paraId="4B7F0A08">
      <w:pPr>
        <w:keepNext w:val="0"/>
        <w:keepLines w:val="0"/>
        <w:pageBreakBefore w:val="0"/>
        <w:widowControl w:val="0"/>
        <w:numPr>
          <w:ilvl w:val="0"/>
          <w:numId w:val="9"/>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起止日期和起止时间</w:t>
      </w:r>
    </w:p>
    <w:p w14:paraId="785428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起始日期默认为新建策略的当天，不可修改，终止日期可以选择当天及以后的日期。起止时间可以设置两个时间段，勾选后才会生效，默认勾选第一个起止时间。</w:t>
      </w:r>
    </w:p>
    <w:p w14:paraId="4D250A02">
      <w:pPr>
        <w:keepNext w:val="0"/>
        <w:keepLines w:val="0"/>
        <w:pageBreakBefore w:val="0"/>
        <w:widowControl w:val="0"/>
        <w:numPr>
          <w:ilvl w:val="0"/>
          <w:numId w:val="9"/>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创建后立即启动</w:t>
      </w:r>
    </w:p>
    <w:p w14:paraId="3651E3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该参数默认不勾选，勾选后保存，策略会立即启动，监控有效时间和基差。</w:t>
      </w:r>
    </w:p>
    <w:p w14:paraId="22A3BEBD">
      <w:pPr>
        <w:pStyle w:val="6"/>
        <w:numPr>
          <w:ilvl w:val="4"/>
          <w:numId w:val="2"/>
        </w:numPr>
        <w:bidi w:val="0"/>
        <w:ind w:left="991" w:leftChars="0" w:hanging="991" w:firstLineChars="0"/>
        <w:rPr>
          <w:rFonts w:hint="default"/>
          <w:sz w:val="24"/>
          <w:szCs w:val="24"/>
          <w:lang w:val="en-US" w:eastAsia="zh-CN"/>
        </w:rPr>
      </w:pPr>
      <w:r>
        <w:rPr>
          <w:rFonts w:hint="eastAsia"/>
          <w:sz w:val="24"/>
          <w:szCs w:val="24"/>
          <w:lang w:val="en-US" w:eastAsia="zh-CN"/>
        </w:rPr>
        <w:t>修改策略</w:t>
      </w:r>
    </w:p>
    <w:p w14:paraId="04F8F2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勾选策略后点击修改按钮或者选中策略-点击鼠标右键-修改，可对执行状态为未执行、暂停的策略进行修改，执行状态为正在执行、执行结束的策略不可修改。执行状态为未执行的策略可以修改除起始日期外的所有参数，执行状态为暂停的策略，只能修改策略名称、基差阀值、终止日期、创建后立即启动。</w:t>
      </w:r>
    </w:p>
    <w:p w14:paraId="5574EF8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3675" cy="1797050"/>
            <wp:effectExtent l="0" t="0" r="3175" b="12700"/>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pic:cNvPicPr>
                      <a:picLocks noChangeAspect="1"/>
                    </pic:cNvPicPr>
                  </pic:nvPicPr>
                  <pic:blipFill>
                    <a:blip r:embed="rId85"/>
                    <a:stretch>
                      <a:fillRect/>
                    </a:stretch>
                  </pic:blipFill>
                  <pic:spPr>
                    <a:xfrm>
                      <a:off x="0" y="0"/>
                      <a:ext cx="5273675" cy="1797050"/>
                    </a:xfrm>
                    <a:prstGeom prst="rect">
                      <a:avLst/>
                    </a:prstGeom>
                    <a:noFill/>
                    <a:ln>
                      <a:noFill/>
                    </a:ln>
                  </pic:spPr>
                </pic:pic>
              </a:graphicData>
            </a:graphic>
          </wp:inline>
        </w:drawing>
      </w:r>
    </w:p>
    <w:p w14:paraId="51194F1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5271135" cy="1735455"/>
            <wp:effectExtent l="0" t="0" r="5715" b="17145"/>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pic:cNvPicPr>
                      <a:picLocks noChangeAspect="1"/>
                    </pic:cNvPicPr>
                  </pic:nvPicPr>
                  <pic:blipFill>
                    <a:blip r:embed="rId86"/>
                    <a:stretch>
                      <a:fillRect/>
                    </a:stretch>
                  </pic:blipFill>
                  <pic:spPr>
                    <a:xfrm>
                      <a:off x="0" y="0"/>
                      <a:ext cx="5271135" cy="1735455"/>
                    </a:xfrm>
                    <a:prstGeom prst="rect">
                      <a:avLst/>
                    </a:prstGeom>
                    <a:noFill/>
                    <a:ln>
                      <a:noFill/>
                    </a:ln>
                  </pic:spPr>
                </pic:pic>
              </a:graphicData>
            </a:graphic>
          </wp:inline>
        </w:drawing>
      </w:r>
    </w:p>
    <w:p w14:paraId="0BC97FBC">
      <w:pPr>
        <w:pStyle w:val="6"/>
        <w:numPr>
          <w:ilvl w:val="4"/>
          <w:numId w:val="2"/>
        </w:numPr>
        <w:bidi w:val="0"/>
        <w:ind w:left="991" w:leftChars="0" w:hanging="991" w:firstLineChars="0"/>
        <w:rPr>
          <w:rFonts w:hint="default"/>
          <w:sz w:val="24"/>
          <w:szCs w:val="24"/>
          <w:lang w:val="en-US" w:eastAsia="zh-CN"/>
        </w:rPr>
      </w:pPr>
      <w:r>
        <w:rPr>
          <w:rFonts w:hint="eastAsia"/>
          <w:sz w:val="24"/>
          <w:szCs w:val="24"/>
          <w:lang w:val="en-US" w:eastAsia="zh-CN"/>
        </w:rPr>
        <w:t>复制策略</w:t>
      </w:r>
    </w:p>
    <w:p w14:paraId="64A593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勾选策略后点击复制按钮或者选中策略-点击鼠标右键-复制，可以快速复制策略，复制的策略除起始日期外的所有参数都可以修改。</w:t>
      </w:r>
    </w:p>
    <w:p w14:paraId="5EC5FB7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val="en-US" w:eastAsia="zh-CN"/>
        </w:rPr>
      </w:pPr>
      <w:r>
        <w:drawing>
          <wp:inline distT="0" distB="0" distL="114300" distR="114300">
            <wp:extent cx="5265420" cy="1482090"/>
            <wp:effectExtent l="0" t="0" r="11430" b="3810"/>
            <wp:docPr id="5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
                    <pic:cNvPicPr>
                      <a:picLocks noChangeAspect="1"/>
                    </pic:cNvPicPr>
                  </pic:nvPicPr>
                  <pic:blipFill>
                    <a:blip r:embed="rId87"/>
                    <a:stretch>
                      <a:fillRect/>
                    </a:stretch>
                  </pic:blipFill>
                  <pic:spPr>
                    <a:xfrm>
                      <a:off x="0" y="0"/>
                      <a:ext cx="5265420" cy="1482090"/>
                    </a:xfrm>
                    <a:prstGeom prst="rect">
                      <a:avLst/>
                    </a:prstGeom>
                    <a:noFill/>
                    <a:ln>
                      <a:noFill/>
                    </a:ln>
                  </pic:spPr>
                </pic:pic>
              </a:graphicData>
            </a:graphic>
          </wp:inline>
        </w:drawing>
      </w:r>
    </w:p>
    <w:p w14:paraId="7C2D986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val="en-US" w:eastAsia="zh-CN"/>
        </w:rPr>
      </w:pPr>
      <w:r>
        <w:drawing>
          <wp:inline distT="0" distB="0" distL="114300" distR="114300">
            <wp:extent cx="5266055" cy="1649095"/>
            <wp:effectExtent l="0" t="0" r="10795" b="8255"/>
            <wp:docPr id="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pic:cNvPicPr>
                      <a:picLocks noChangeAspect="1"/>
                    </pic:cNvPicPr>
                  </pic:nvPicPr>
                  <pic:blipFill>
                    <a:blip r:embed="rId88"/>
                    <a:stretch>
                      <a:fillRect/>
                    </a:stretch>
                  </pic:blipFill>
                  <pic:spPr>
                    <a:xfrm>
                      <a:off x="0" y="0"/>
                      <a:ext cx="5266055" cy="1649095"/>
                    </a:xfrm>
                    <a:prstGeom prst="rect">
                      <a:avLst/>
                    </a:prstGeom>
                    <a:noFill/>
                    <a:ln>
                      <a:noFill/>
                    </a:ln>
                  </pic:spPr>
                </pic:pic>
              </a:graphicData>
            </a:graphic>
          </wp:inline>
        </w:drawing>
      </w:r>
    </w:p>
    <w:p w14:paraId="2237EB67">
      <w:pPr>
        <w:pStyle w:val="6"/>
        <w:numPr>
          <w:ilvl w:val="4"/>
          <w:numId w:val="2"/>
        </w:numPr>
        <w:bidi w:val="0"/>
        <w:ind w:left="991" w:leftChars="0" w:hanging="991" w:firstLineChars="0"/>
        <w:rPr>
          <w:rFonts w:hint="default"/>
          <w:sz w:val="24"/>
          <w:szCs w:val="24"/>
          <w:lang w:val="en-US" w:eastAsia="zh-CN"/>
        </w:rPr>
      </w:pPr>
      <w:r>
        <w:rPr>
          <w:rFonts w:hint="eastAsia"/>
          <w:sz w:val="24"/>
          <w:szCs w:val="24"/>
          <w:lang w:val="en-US" w:eastAsia="zh-CN"/>
        </w:rPr>
        <w:t>删除策略</w:t>
      </w:r>
    </w:p>
    <w:p w14:paraId="479915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勾选策略后点击删除按钮或者选中策略-点击鼠标右键-删除，可对执行状态为未执行、暂停、执行结束的策略进行删除，执行状态为正在执行的策略不可删除。</w:t>
      </w:r>
    </w:p>
    <w:p w14:paraId="39872FB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59705" cy="1087755"/>
            <wp:effectExtent l="0" t="0" r="17145" b="17145"/>
            <wp:docPr id="5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0"/>
                    <pic:cNvPicPr>
                      <a:picLocks noChangeAspect="1"/>
                    </pic:cNvPicPr>
                  </pic:nvPicPr>
                  <pic:blipFill>
                    <a:blip r:embed="rId89"/>
                    <a:stretch>
                      <a:fillRect/>
                    </a:stretch>
                  </pic:blipFill>
                  <pic:spPr>
                    <a:xfrm>
                      <a:off x="0" y="0"/>
                      <a:ext cx="5259705" cy="1087755"/>
                    </a:xfrm>
                    <a:prstGeom prst="rect">
                      <a:avLst/>
                    </a:prstGeom>
                    <a:noFill/>
                    <a:ln>
                      <a:noFill/>
                    </a:ln>
                  </pic:spPr>
                </pic:pic>
              </a:graphicData>
            </a:graphic>
          </wp:inline>
        </w:drawing>
      </w:r>
    </w:p>
    <w:p w14:paraId="7562374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5273040" cy="1054735"/>
            <wp:effectExtent l="0" t="0" r="3810" b="12065"/>
            <wp:docPr id="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pic:cNvPicPr>
                      <a:picLocks noChangeAspect="1"/>
                    </pic:cNvPicPr>
                  </pic:nvPicPr>
                  <pic:blipFill>
                    <a:blip r:embed="rId90"/>
                    <a:stretch>
                      <a:fillRect/>
                    </a:stretch>
                  </pic:blipFill>
                  <pic:spPr>
                    <a:xfrm>
                      <a:off x="0" y="0"/>
                      <a:ext cx="5273040" cy="1054735"/>
                    </a:xfrm>
                    <a:prstGeom prst="rect">
                      <a:avLst/>
                    </a:prstGeom>
                    <a:noFill/>
                    <a:ln>
                      <a:noFill/>
                    </a:ln>
                  </pic:spPr>
                </pic:pic>
              </a:graphicData>
            </a:graphic>
          </wp:inline>
        </w:drawing>
      </w:r>
    </w:p>
    <w:p w14:paraId="59B6EC4E">
      <w:pPr>
        <w:pStyle w:val="6"/>
        <w:numPr>
          <w:ilvl w:val="4"/>
          <w:numId w:val="2"/>
        </w:numPr>
        <w:bidi w:val="0"/>
        <w:ind w:left="991" w:leftChars="0" w:hanging="991" w:firstLineChars="0"/>
        <w:rPr>
          <w:rFonts w:hint="default"/>
          <w:sz w:val="24"/>
          <w:szCs w:val="24"/>
          <w:lang w:val="en-US" w:eastAsia="zh-CN"/>
        </w:rPr>
      </w:pPr>
      <w:r>
        <w:rPr>
          <w:rFonts w:hint="eastAsia"/>
          <w:sz w:val="24"/>
          <w:szCs w:val="24"/>
          <w:lang w:val="en-US" w:eastAsia="zh-CN"/>
        </w:rPr>
        <w:t>启动策略</w:t>
      </w:r>
    </w:p>
    <w:p w14:paraId="78FB61C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勾选策略后点击启动按钮或者点击执行操作列的未执行、暂停图标，可对执行状态为未执行、暂停的策略进行启动，执行状态为正在执行、执行结束的策略不可启动。</w:t>
      </w:r>
    </w:p>
    <w:p w14:paraId="6A321C8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val="en-US" w:eastAsia="zh-CN"/>
        </w:rPr>
      </w:pPr>
      <w:r>
        <w:drawing>
          <wp:inline distT="0" distB="0" distL="114300" distR="114300">
            <wp:extent cx="5259070" cy="1033145"/>
            <wp:effectExtent l="0" t="0" r="17780" b="14605"/>
            <wp:docPr id="5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2"/>
                    <pic:cNvPicPr>
                      <a:picLocks noChangeAspect="1"/>
                    </pic:cNvPicPr>
                  </pic:nvPicPr>
                  <pic:blipFill>
                    <a:blip r:embed="rId91"/>
                    <a:stretch>
                      <a:fillRect/>
                    </a:stretch>
                  </pic:blipFill>
                  <pic:spPr>
                    <a:xfrm>
                      <a:off x="0" y="0"/>
                      <a:ext cx="5259070" cy="1033145"/>
                    </a:xfrm>
                    <a:prstGeom prst="rect">
                      <a:avLst/>
                    </a:prstGeom>
                    <a:noFill/>
                    <a:ln>
                      <a:noFill/>
                    </a:ln>
                  </pic:spPr>
                </pic:pic>
              </a:graphicData>
            </a:graphic>
          </wp:inline>
        </w:drawing>
      </w:r>
    </w:p>
    <w:p w14:paraId="1703D11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val="en-US" w:eastAsia="zh-CN"/>
        </w:rPr>
      </w:pPr>
      <w:r>
        <w:drawing>
          <wp:inline distT="0" distB="0" distL="114300" distR="114300">
            <wp:extent cx="5268595" cy="1042035"/>
            <wp:effectExtent l="0" t="0" r="8255" b="5715"/>
            <wp:docPr id="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3"/>
                    <pic:cNvPicPr>
                      <a:picLocks noChangeAspect="1"/>
                    </pic:cNvPicPr>
                  </pic:nvPicPr>
                  <pic:blipFill>
                    <a:blip r:embed="rId92"/>
                    <a:stretch>
                      <a:fillRect/>
                    </a:stretch>
                  </pic:blipFill>
                  <pic:spPr>
                    <a:xfrm>
                      <a:off x="0" y="0"/>
                      <a:ext cx="5268595" cy="1042035"/>
                    </a:xfrm>
                    <a:prstGeom prst="rect">
                      <a:avLst/>
                    </a:prstGeom>
                    <a:noFill/>
                    <a:ln>
                      <a:noFill/>
                    </a:ln>
                  </pic:spPr>
                </pic:pic>
              </a:graphicData>
            </a:graphic>
          </wp:inline>
        </w:drawing>
      </w:r>
    </w:p>
    <w:p w14:paraId="0803C835">
      <w:pPr>
        <w:pStyle w:val="6"/>
        <w:numPr>
          <w:ilvl w:val="4"/>
          <w:numId w:val="2"/>
        </w:numPr>
        <w:bidi w:val="0"/>
        <w:ind w:left="991" w:leftChars="0" w:hanging="991" w:firstLineChars="0"/>
        <w:rPr>
          <w:rFonts w:hint="default"/>
          <w:sz w:val="24"/>
          <w:szCs w:val="24"/>
          <w:lang w:val="en-US" w:eastAsia="zh-CN"/>
        </w:rPr>
      </w:pPr>
      <w:r>
        <w:rPr>
          <w:rFonts w:hint="eastAsia"/>
          <w:sz w:val="24"/>
          <w:szCs w:val="24"/>
          <w:lang w:val="en-US" w:eastAsia="zh-CN"/>
        </w:rPr>
        <w:t>暂停策略</w:t>
      </w:r>
    </w:p>
    <w:p w14:paraId="2A2838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勾选策略后点击暂停按钮或者点击执行操作列的正在执行图标，可对执行状态为正在执行的策略进行暂停，执行状态为未执行、暂停、执行结束的策略不可暂停。</w:t>
      </w:r>
    </w:p>
    <w:p w14:paraId="385D3A1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val="en-US" w:eastAsia="zh-CN"/>
        </w:rPr>
      </w:pPr>
      <w:r>
        <w:drawing>
          <wp:inline distT="0" distB="0" distL="114300" distR="114300">
            <wp:extent cx="5260975" cy="1012190"/>
            <wp:effectExtent l="0" t="0" r="15875" b="16510"/>
            <wp:docPr id="5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4"/>
                    <pic:cNvPicPr>
                      <a:picLocks noChangeAspect="1"/>
                    </pic:cNvPicPr>
                  </pic:nvPicPr>
                  <pic:blipFill>
                    <a:blip r:embed="rId93"/>
                    <a:stretch>
                      <a:fillRect/>
                    </a:stretch>
                  </pic:blipFill>
                  <pic:spPr>
                    <a:xfrm>
                      <a:off x="0" y="0"/>
                      <a:ext cx="5260975" cy="1012190"/>
                    </a:xfrm>
                    <a:prstGeom prst="rect">
                      <a:avLst/>
                    </a:prstGeom>
                    <a:noFill/>
                    <a:ln>
                      <a:noFill/>
                    </a:ln>
                  </pic:spPr>
                </pic:pic>
              </a:graphicData>
            </a:graphic>
          </wp:inline>
        </w:drawing>
      </w:r>
    </w:p>
    <w:p w14:paraId="7264121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val="en-US" w:eastAsia="zh-CN"/>
        </w:rPr>
      </w:pPr>
      <w:r>
        <w:drawing>
          <wp:inline distT="0" distB="0" distL="114300" distR="114300">
            <wp:extent cx="5260975" cy="1023620"/>
            <wp:effectExtent l="0" t="0" r="15875" b="5080"/>
            <wp:docPr id="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
                    <pic:cNvPicPr>
                      <a:picLocks noChangeAspect="1"/>
                    </pic:cNvPicPr>
                  </pic:nvPicPr>
                  <pic:blipFill>
                    <a:blip r:embed="rId94"/>
                    <a:stretch>
                      <a:fillRect/>
                    </a:stretch>
                  </pic:blipFill>
                  <pic:spPr>
                    <a:xfrm>
                      <a:off x="0" y="0"/>
                      <a:ext cx="5260975" cy="1023620"/>
                    </a:xfrm>
                    <a:prstGeom prst="rect">
                      <a:avLst/>
                    </a:prstGeom>
                    <a:noFill/>
                    <a:ln>
                      <a:noFill/>
                    </a:ln>
                  </pic:spPr>
                </pic:pic>
              </a:graphicData>
            </a:graphic>
          </wp:inline>
        </w:drawing>
      </w:r>
    </w:p>
    <w:p w14:paraId="5C2E16D6">
      <w:pPr>
        <w:pStyle w:val="6"/>
        <w:numPr>
          <w:ilvl w:val="4"/>
          <w:numId w:val="2"/>
        </w:numPr>
        <w:bidi w:val="0"/>
        <w:ind w:left="991" w:leftChars="0" w:hanging="991" w:firstLineChars="0"/>
        <w:rPr>
          <w:rFonts w:hint="default"/>
          <w:sz w:val="24"/>
          <w:szCs w:val="24"/>
          <w:lang w:val="en-US" w:eastAsia="zh-CN"/>
        </w:rPr>
      </w:pPr>
      <w:r>
        <w:rPr>
          <w:rFonts w:hint="eastAsia"/>
          <w:sz w:val="24"/>
          <w:szCs w:val="24"/>
          <w:lang w:val="en-US" w:eastAsia="zh-CN"/>
        </w:rPr>
        <w:t>终止策略</w:t>
      </w:r>
    </w:p>
    <w:p w14:paraId="2E24B6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勾选策略后点击终止按钮，可对执行状态为正在执行、暂停的策略进行终止，执行状态为未执行、执行结束的策略不可终止。</w:t>
      </w:r>
    </w:p>
    <w:p w14:paraId="7E0A88A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val="en-US" w:eastAsia="zh-CN"/>
        </w:rPr>
      </w:pPr>
      <w:r>
        <w:drawing>
          <wp:inline distT="0" distB="0" distL="114300" distR="114300">
            <wp:extent cx="5265420" cy="1017905"/>
            <wp:effectExtent l="0" t="0" r="11430" b="10795"/>
            <wp:docPr id="5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6"/>
                    <pic:cNvPicPr>
                      <a:picLocks noChangeAspect="1"/>
                    </pic:cNvPicPr>
                  </pic:nvPicPr>
                  <pic:blipFill>
                    <a:blip r:embed="rId95"/>
                    <a:stretch>
                      <a:fillRect/>
                    </a:stretch>
                  </pic:blipFill>
                  <pic:spPr>
                    <a:xfrm>
                      <a:off x="0" y="0"/>
                      <a:ext cx="5265420" cy="1017905"/>
                    </a:xfrm>
                    <a:prstGeom prst="rect">
                      <a:avLst/>
                    </a:prstGeom>
                    <a:noFill/>
                    <a:ln>
                      <a:noFill/>
                    </a:ln>
                  </pic:spPr>
                </pic:pic>
              </a:graphicData>
            </a:graphic>
          </wp:inline>
        </w:drawing>
      </w:r>
    </w:p>
    <w:p w14:paraId="649D1D6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val="en-US" w:eastAsia="zh-CN"/>
        </w:rPr>
      </w:pPr>
      <w:r>
        <w:drawing>
          <wp:inline distT="0" distB="0" distL="114300" distR="114300">
            <wp:extent cx="5267325" cy="1038860"/>
            <wp:effectExtent l="0" t="0" r="9525" b="8890"/>
            <wp:docPr id="6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7"/>
                    <pic:cNvPicPr>
                      <a:picLocks noChangeAspect="1"/>
                    </pic:cNvPicPr>
                  </pic:nvPicPr>
                  <pic:blipFill>
                    <a:blip r:embed="rId96"/>
                    <a:stretch>
                      <a:fillRect/>
                    </a:stretch>
                  </pic:blipFill>
                  <pic:spPr>
                    <a:xfrm>
                      <a:off x="0" y="0"/>
                      <a:ext cx="5267325" cy="1038860"/>
                    </a:xfrm>
                    <a:prstGeom prst="rect">
                      <a:avLst/>
                    </a:prstGeom>
                    <a:noFill/>
                    <a:ln>
                      <a:noFill/>
                    </a:ln>
                  </pic:spPr>
                </pic:pic>
              </a:graphicData>
            </a:graphic>
          </wp:inline>
        </w:drawing>
      </w:r>
    </w:p>
    <w:p w14:paraId="437B1C8C">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b/>
          <w:bCs/>
          <w:lang w:val="en-US" w:eastAsia="zh-CN"/>
        </w:rPr>
      </w:pPr>
      <w:r>
        <w:rPr>
          <w:rFonts w:hint="eastAsia" w:ascii="宋体" w:hAnsi="宋体" w:eastAsia="宋体" w:cs="宋体"/>
          <w:b/>
          <w:bCs/>
          <w:sz w:val="24"/>
          <w:szCs w:val="24"/>
          <w:lang w:val="en-US" w:eastAsia="zh-CN"/>
        </w:rPr>
        <w:t>行情</w:t>
      </w:r>
    </w:p>
    <w:p w14:paraId="631DF5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以“树状”形式展示自选策略的基差、基差盘口以及该策略下每个标的的行情明细。在行情列表的右上角输入</w:t>
      </w:r>
      <w:r>
        <w:rPr>
          <w:rFonts w:hint="eastAsia" w:ascii="宋体" w:hAnsi="宋体" w:eastAsia="宋体" w:cs="宋体"/>
          <w:b w:val="0"/>
          <w:bCs w:val="0"/>
          <w:highlight w:val="none"/>
          <w:lang w:val="en-US" w:eastAsia="zh-CN"/>
        </w:rPr>
        <w:t>策略编码（即实例ID）</w:t>
      </w:r>
      <w:r>
        <w:rPr>
          <w:rFonts w:hint="eastAsia" w:ascii="宋体" w:hAnsi="宋体" w:eastAsia="宋体" w:cs="宋体"/>
          <w:b w:val="0"/>
          <w:bCs w:val="0"/>
          <w:lang w:val="en-US" w:eastAsia="zh-CN"/>
        </w:rPr>
        <w:t>添加策略行情,也可通过右击策略列表中的策略，点击“加入行情列表”选项后添加至策略行情。</w:t>
      </w:r>
    </w:p>
    <w:p w14:paraId="1ED4180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val="en-US" w:eastAsia="zh-CN"/>
        </w:rPr>
      </w:pPr>
      <w:r>
        <w:drawing>
          <wp:inline distT="0" distB="0" distL="114300" distR="114300">
            <wp:extent cx="5268595" cy="875030"/>
            <wp:effectExtent l="0" t="0" r="8255" b="1270"/>
            <wp:docPr id="6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8"/>
                    <pic:cNvPicPr>
                      <a:picLocks noChangeAspect="1"/>
                    </pic:cNvPicPr>
                  </pic:nvPicPr>
                  <pic:blipFill>
                    <a:blip r:embed="rId97"/>
                    <a:stretch>
                      <a:fillRect/>
                    </a:stretch>
                  </pic:blipFill>
                  <pic:spPr>
                    <a:xfrm>
                      <a:off x="0" y="0"/>
                      <a:ext cx="5268595" cy="875030"/>
                    </a:xfrm>
                    <a:prstGeom prst="rect">
                      <a:avLst/>
                    </a:prstGeom>
                    <a:noFill/>
                    <a:ln>
                      <a:noFill/>
                    </a:ln>
                  </pic:spPr>
                </pic:pic>
              </a:graphicData>
            </a:graphic>
          </wp:inline>
        </w:drawing>
      </w:r>
    </w:p>
    <w:p w14:paraId="219F714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val="en-US" w:eastAsia="zh-CN"/>
        </w:rPr>
      </w:pPr>
      <w:r>
        <w:drawing>
          <wp:inline distT="0" distB="0" distL="114300" distR="114300">
            <wp:extent cx="5264150" cy="1075055"/>
            <wp:effectExtent l="0" t="0" r="12700" b="10795"/>
            <wp:docPr id="6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9"/>
                    <pic:cNvPicPr>
                      <a:picLocks noChangeAspect="1"/>
                    </pic:cNvPicPr>
                  </pic:nvPicPr>
                  <pic:blipFill>
                    <a:blip r:embed="rId98"/>
                    <a:stretch>
                      <a:fillRect/>
                    </a:stretch>
                  </pic:blipFill>
                  <pic:spPr>
                    <a:xfrm>
                      <a:off x="0" y="0"/>
                      <a:ext cx="5264150" cy="1075055"/>
                    </a:xfrm>
                    <a:prstGeom prst="rect">
                      <a:avLst/>
                    </a:prstGeom>
                    <a:noFill/>
                    <a:ln>
                      <a:noFill/>
                    </a:ln>
                  </pic:spPr>
                </pic:pic>
              </a:graphicData>
            </a:graphic>
          </wp:inline>
        </w:drawing>
      </w:r>
    </w:p>
    <w:p w14:paraId="5FBDA7F8">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委托</w:t>
      </w:r>
    </w:p>
    <w:p w14:paraId="1A70CC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展示已触发基差条件并且已下单的委托订单，只展示选中策略的委托订单。勾选委托状态为已报、部成的委托订单，点击撤单按钮，可对委托订单进行撤单操作，点击全撤按钮，可对所有委托状态为已报、部成的委托订单进行撤单操作。</w:t>
      </w:r>
    </w:p>
    <w:p w14:paraId="63D4E12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val="en-US" w:eastAsia="zh-CN"/>
        </w:rPr>
      </w:pPr>
      <w:r>
        <w:drawing>
          <wp:inline distT="0" distB="0" distL="114300" distR="114300">
            <wp:extent cx="5270500" cy="2461260"/>
            <wp:effectExtent l="0" t="0" r="6350" b="15240"/>
            <wp:docPr id="6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1"/>
                    <pic:cNvPicPr>
                      <a:picLocks noChangeAspect="1"/>
                    </pic:cNvPicPr>
                  </pic:nvPicPr>
                  <pic:blipFill>
                    <a:blip r:embed="rId99"/>
                    <a:stretch>
                      <a:fillRect/>
                    </a:stretch>
                  </pic:blipFill>
                  <pic:spPr>
                    <a:xfrm>
                      <a:off x="0" y="0"/>
                      <a:ext cx="5270500" cy="2461260"/>
                    </a:xfrm>
                    <a:prstGeom prst="rect">
                      <a:avLst/>
                    </a:prstGeom>
                    <a:noFill/>
                    <a:ln>
                      <a:noFill/>
                    </a:ln>
                  </pic:spPr>
                </pic:pic>
              </a:graphicData>
            </a:graphic>
          </wp:inline>
        </w:drawing>
      </w:r>
    </w:p>
    <w:p w14:paraId="215CF9FA">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b/>
          <w:bCs/>
          <w:lang w:val="en-US" w:eastAsia="zh-CN"/>
        </w:rPr>
      </w:pPr>
      <w:r>
        <w:rPr>
          <w:rFonts w:hint="eastAsia" w:ascii="宋体" w:hAnsi="宋体" w:eastAsia="宋体" w:cs="宋体"/>
          <w:b/>
          <w:bCs/>
          <w:sz w:val="24"/>
          <w:szCs w:val="24"/>
          <w:lang w:val="en-US" w:eastAsia="zh-CN"/>
        </w:rPr>
        <w:t>成交</w:t>
      </w:r>
    </w:p>
    <w:p w14:paraId="04E4BC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展示已成交的订单，只展示选中策略的成交订单。</w:t>
      </w:r>
    </w:p>
    <w:p w14:paraId="5615885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val="en-US" w:eastAsia="zh-CN"/>
        </w:rPr>
      </w:pPr>
      <w:r>
        <w:drawing>
          <wp:inline distT="0" distB="0" distL="114300" distR="114300">
            <wp:extent cx="5265420" cy="2630170"/>
            <wp:effectExtent l="0" t="0" r="11430" b="17780"/>
            <wp:docPr id="6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2"/>
                    <pic:cNvPicPr>
                      <a:picLocks noChangeAspect="1"/>
                    </pic:cNvPicPr>
                  </pic:nvPicPr>
                  <pic:blipFill>
                    <a:blip r:embed="rId100"/>
                    <a:stretch>
                      <a:fillRect/>
                    </a:stretch>
                  </pic:blipFill>
                  <pic:spPr>
                    <a:xfrm>
                      <a:off x="0" y="0"/>
                      <a:ext cx="5265420" cy="2630170"/>
                    </a:xfrm>
                    <a:prstGeom prst="rect">
                      <a:avLst/>
                    </a:prstGeom>
                    <a:noFill/>
                    <a:ln>
                      <a:noFill/>
                    </a:ln>
                  </pic:spPr>
                </pic:pic>
              </a:graphicData>
            </a:graphic>
          </wp:inline>
        </w:drawing>
      </w:r>
    </w:p>
    <w:p w14:paraId="75D0A3DE">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持仓</w:t>
      </w:r>
    </w:p>
    <w:p w14:paraId="09426F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展示登录账号绑定的所有资产账号的持仓数据，包括</w:t>
      </w:r>
      <w:r>
        <w:rPr>
          <w:rFonts w:hint="eastAsia" w:asciiTheme="minorEastAsia" w:hAnsiTheme="minorEastAsia"/>
          <w:sz w:val="21"/>
          <w:szCs w:val="21"/>
          <w:lang w:val="en-US" w:eastAsia="zh-CN"/>
        </w:rPr>
        <w:t>证券现货</w:t>
      </w:r>
      <w:r>
        <w:rPr>
          <w:rFonts w:hint="eastAsia" w:asciiTheme="minorEastAsia" w:hAnsiTheme="minorEastAsia"/>
          <w:sz w:val="21"/>
          <w:szCs w:val="21"/>
          <w:lang w:eastAsia="zh-CN"/>
        </w:rPr>
        <w:t>账号、</w:t>
      </w:r>
      <w:r>
        <w:rPr>
          <w:rFonts w:hint="eastAsia" w:asciiTheme="minorEastAsia" w:hAnsiTheme="minorEastAsia"/>
          <w:sz w:val="21"/>
          <w:szCs w:val="21"/>
          <w:lang w:val="en-US" w:eastAsia="zh-CN"/>
        </w:rPr>
        <w:t>证券期权</w:t>
      </w:r>
      <w:r>
        <w:rPr>
          <w:rFonts w:hint="eastAsia" w:asciiTheme="minorEastAsia" w:hAnsiTheme="minorEastAsia"/>
          <w:sz w:val="21"/>
          <w:szCs w:val="21"/>
          <w:lang w:eastAsia="zh-CN"/>
        </w:rPr>
        <w:t>账号、</w:t>
      </w:r>
      <w:r>
        <w:rPr>
          <w:rFonts w:hint="eastAsia" w:asciiTheme="minorEastAsia" w:hAnsiTheme="minorEastAsia"/>
          <w:sz w:val="21"/>
          <w:szCs w:val="21"/>
          <w:lang w:val="en-US" w:eastAsia="zh-CN"/>
        </w:rPr>
        <w:t>期货账号的所有持仓。选中一条持仓数据，点击手工平仓按钮，弹出手工平仓页面，可进行平仓操作，只有平仓价格、平仓数量可修改，其它字段不可修改。点击手工补单按钮，弹出手工补单页面，可进行下单，所有字段都可修改，下单后的委托订单和持仓订单需要到其它交易模块才可以查看（证券现货</w:t>
      </w:r>
      <w:r>
        <w:rPr>
          <w:rFonts w:hint="eastAsia" w:asciiTheme="minorEastAsia" w:hAnsiTheme="minorEastAsia"/>
          <w:sz w:val="21"/>
          <w:szCs w:val="21"/>
          <w:lang w:eastAsia="zh-CN"/>
        </w:rPr>
        <w:t>账号</w:t>
      </w:r>
      <w:r>
        <w:rPr>
          <w:rFonts w:hint="eastAsia" w:asciiTheme="minorEastAsia" w:hAnsiTheme="minorEastAsia"/>
          <w:sz w:val="21"/>
          <w:szCs w:val="21"/>
          <w:lang w:val="en-US" w:eastAsia="zh-CN"/>
        </w:rPr>
        <w:t>的补单，需要到ETF交易模块如普通交易的委托明细、成交明细查看；证券期权</w:t>
      </w:r>
      <w:r>
        <w:rPr>
          <w:rFonts w:hint="eastAsia" w:asciiTheme="minorEastAsia" w:hAnsiTheme="minorEastAsia"/>
          <w:sz w:val="21"/>
          <w:szCs w:val="21"/>
          <w:lang w:eastAsia="zh-CN"/>
        </w:rPr>
        <w:t>账号</w:t>
      </w:r>
      <w:r>
        <w:rPr>
          <w:rFonts w:hint="eastAsia" w:asciiTheme="minorEastAsia" w:hAnsiTheme="minorEastAsia"/>
          <w:sz w:val="21"/>
          <w:szCs w:val="21"/>
          <w:lang w:val="en-US" w:eastAsia="zh-CN"/>
        </w:rPr>
        <w:t>的补单，需要到期权交易的委托明细、成交明细查看；期货账号的补单，需要到期货交易的委托明细、成交明细查看）。</w:t>
      </w:r>
    </w:p>
    <w:p w14:paraId="49C6DEE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5420" cy="2361565"/>
            <wp:effectExtent l="0" t="0" r="11430" b="635"/>
            <wp:docPr id="7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6"/>
                    <pic:cNvPicPr>
                      <a:picLocks noChangeAspect="1"/>
                    </pic:cNvPicPr>
                  </pic:nvPicPr>
                  <pic:blipFill>
                    <a:blip r:embed="rId101"/>
                    <a:stretch>
                      <a:fillRect/>
                    </a:stretch>
                  </pic:blipFill>
                  <pic:spPr>
                    <a:xfrm>
                      <a:off x="0" y="0"/>
                      <a:ext cx="5265420" cy="2361565"/>
                    </a:xfrm>
                    <a:prstGeom prst="rect">
                      <a:avLst/>
                    </a:prstGeom>
                    <a:noFill/>
                    <a:ln>
                      <a:noFill/>
                    </a:ln>
                  </pic:spPr>
                </pic:pic>
              </a:graphicData>
            </a:graphic>
          </wp:inline>
        </w:drawing>
      </w:r>
    </w:p>
    <w:p w14:paraId="41E1877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5270500" cy="2331720"/>
            <wp:effectExtent l="0" t="0" r="6350" b="11430"/>
            <wp:docPr id="7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4"/>
                    <pic:cNvPicPr>
                      <a:picLocks noChangeAspect="1"/>
                    </pic:cNvPicPr>
                  </pic:nvPicPr>
                  <pic:blipFill>
                    <a:blip r:embed="rId102"/>
                    <a:stretch>
                      <a:fillRect/>
                    </a:stretch>
                  </pic:blipFill>
                  <pic:spPr>
                    <a:xfrm>
                      <a:off x="0" y="0"/>
                      <a:ext cx="5270500" cy="2331720"/>
                    </a:xfrm>
                    <a:prstGeom prst="rect">
                      <a:avLst/>
                    </a:prstGeom>
                    <a:noFill/>
                    <a:ln>
                      <a:noFill/>
                    </a:ln>
                  </pic:spPr>
                </pic:pic>
              </a:graphicData>
            </a:graphic>
          </wp:inline>
        </w:drawing>
      </w:r>
    </w:p>
    <w:p w14:paraId="548DB124">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b/>
          <w:bCs/>
          <w:lang w:val="en-US" w:eastAsia="zh-CN"/>
        </w:rPr>
      </w:pPr>
      <w:r>
        <w:rPr>
          <w:rFonts w:hint="eastAsia" w:ascii="宋体" w:hAnsi="宋体" w:eastAsia="宋体" w:cs="宋体"/>
          <w:b/>
          <w:bCs/>
          <w:sz w:val="24"/>
          <w:szCs w:val="24"/>
          <w:lang w:val="en-US" w:eastAsia="zh-CN"/>
        </w:rPr>
        <w:t>日志</w:t>
      </w:r>
    </w:p>
    <w:p w14:paraId="28B2819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与策略列表联动，展示套利策略的运行日志,按时间的倒序记录策略运行的详细情况，主要包括策略执行的行情信息、策略运行的交易信息等，只展示选中策略的日志信息。</w:t>
      </w:r>
    </w:p>
    <w:p w14:paraId="60013AF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val="en-US" w:eastAsia="zh-CN"/>
        </w:rPr>
      </w:pPr>
      <w:r>
        <w:drawing>
          <wp:inline distT="0" distB="0" distL="114300" distR="114300">
            <wp:extent cx="5273675" cy="2652395"/>
            <wp:effectExtent l="0" t="0" r="3175" b="14605"/>
            <wp:docPr id="7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7"/>
                    <pic:cNvPicPr>
                      <a:picLocks noChangeAspect="1"/>
                    </pic:cNvPicPr>
                  </pic:nvPicPr>
                  <pic:blipFill>
                    <a:blip r:embed="rId103"/>
                    <a:stretch>
                      <a:fillRect/>
                    </a:stretch>
                  </pic:blipFill>
                  <pic:spPr>
                    <a:xfrm>
                      <a:off x="0" y="0"/>
                      <a:ext cx="5273675" cy="2652395"/>
                    </a:xfrm>
                    <a:prstGeom prst="rect">
                      <a:avLst/>
                    </a:prstGeom>
                    <a:noFill/>
                    <a:ln>
                      <a:noFill/>
                    </a:ln>
                  </pic:spPr>
                </pic:pic>
              </a:graphicData>
            </a:graphic>
          </wp:inline>
        </w:drawing>
      </w:r>
    </w:p>
    <w:p w14:paraId="7D0E411D">
      <w:pPr>
        <w:pStyle w:val="3"/>
        <w:keepNext/>
        <w:keepLines/>
        <w:pageBreakBefore w:val="0"/>
        <w:widowControl w:val="0"/>
        <w:numPr>
          <w:ilvl w:val="1"/>
          <w:numId w:val="2"/>
        </w:numPr>
        <w:tabs>
          <w:tab w:val="left" w:pos="2261"/>
        </w:tabs>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28"/>
          <w:szCs w:val="28"/>
          <w:lang w:val="en-US" w:eastAsia="zh-CN"/>
        </w:rPr>
      </w:pPr>
      <w:bookmarkStart w:id="26" w:name="_Toc12442"/>
      <w:r>
        <w:rPr>
          <w:rFonts w:hint="eastAsia" w:ascii="宋体" w:hAnsi="宋体" w:eastAsia="宋体" w:cs="宋体"/>
          <w:sz w:val="28"/>
          <w:szCs w:val="28"/>
          <w:lang w:val="en-US" w:eastAsia="zh-CN"/>
        </w:rPr>
        <w:t>指令流程</w:t>
      </w:r>
      <w:bookmarkEnd w:id="26"/>
    </w:p>
    <w:p w14:paraId="470AC77E">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27" w:name="_Toc17243"/>
      <w:r>
        <w:rPr>
          <w:rFonts w:hint="eastAsia" w:ascii="宋体" w:hAnsi="宋体" w:eastAsia="宋体" w:cs="宋体"/>
          <w:sz w:val="28"/>
          <w:szCs w:val="28"/>
          <w:lang w:val="en-US" w:eastAsia="zh-CN"/>
        </w:rPr>
        <w:t>指令说明</w:t>
      </w:r>
      <w:bookmarkEnd w:id="27"/>
    </w:p>
    <w:p w14:paraId="1BE7326F">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指令流程</w:t>
      </w:r>
    </w:p>
    <w:p w14:paraId="7FC260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指令流程是用来实现多岗位流程化指令交易的功能模块，通过指令流程可以实现指令下达、指令审批、指令分发、执行交易的功能。可以根据具体需要，选择以下几种流程:  </w:t>
      </w:r>
    </w:p>
    <w:p w14:paraId="2C2F2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两节点:指令下达-指令执行（or指令复核）  </w:t>
      </w:r>
    </w:p>
    <w:p w14:paraId="489C75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三节点:指令下达-指令分发-指令执行（or指令复核）  </w:t>
      </w:r>
    </w:p>
    <w:p w14:paraId="51EDEE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三节点:指令下达-指令审批-指令执行（or指令复核）  </w:t>
      </w:r>
    </w:p>
    <w:p w14:paraId="5ECCD6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四节点:指令下达-指令审批-指令分发-指令执行（or指令复核） </w:t>
      </w:r>
    </w:p>
    <w:p w14:paraId="1B76AF5C">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指令模式</w:t>
      </w:r>
    </w:p>
    <w:p w14:paraId="4497A0ED">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主动模式</w:t>
      </w:r>
    </w:p>
    <w:p w14:paraId="24FACE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指令交易员执行指令时，可对待执行指令的价格、数量、下单类型进行编辑后执行。  </w:t>
      </w:r>
    </w:p>
    <w:p w14:paraId="167379CC">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复核模式</w:t>
      </w:r>
    </w:p>
    <w:p w14:paraId="0C85B2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指令复核员复核指令时，不可对待复核指令的证券代码、指令方向、指令价格、指令数量进行编辑，仅可点击指令通过或指令拒绝。</w:t>
      </w:r>
    </w:p>
    <w:p w14:paraId="01E2B523">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指令类型和交易品种</w:t>
      </w:r>
    </w:p>
    <w:p w14:paraId="4E54E851">
      <w:pPr>
        <w:rPr>
          <w:rFonts w:hint="eastAsia" w:ascii="宋体" w:hAnsi="宋体" w:eastAsia="宋体" w:cs="宋体"/>
          <w:lang w:val="en-US" w:eastAsia="zh-CN"/>
        </w:rPr>
      </w:pPr>
    </w:p>
    <w:tbl>
      <w:tblPr>
        <w:tblStyle w:val="20"/>
        <w:tblpPr w:vertAnchor="text" w:horzAnchor="page" w:tblpX="1800" w:tblpY="-270"/>
        <w:tblOverlap w:val="never"/>
        <w:tblW w:w="8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51"/>
        <w:gridCol w:w="1698"/>
        <w:gridCol w:w="2121"/>
        <w:gridCol w:w="2828"/>
      </w:tblGrid>
      <w:tr w14:paraId="7459C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trPr>
        <w:tc>
          <w:tcPr>
            <w:tcW w:w="1551" w:type="dxa"/>
          </w:tcPr>
          <w:p w14:paraId="7FD3B9FA">
            <w:pPr>
              <w:spacing w:before="92"/>
              <w:jc w:val="center"/>
              <w:rPr>
                <w:rFonts w:hint="eastAsia" w:ascii="宋体" w:hAnsi="宋体" w:eastAsia="宋体" w:cs="宋体"/>
                <w:b/>
                <w:bCs/>
                <w:color w:val="010302"/>
              </w:rPr>
            </w:pPr>
            <w:r>
              <w:rPr>
                <w:rFonts w:hint="eastAsia" w:ascii="宋体" w:hAnsi="宋体" w:eastAsia="宋体" w:cs="宋体"/>
                <w:b/>
                <w:bCs/>
                <w:color w:val="000000"/>
                <w:sz w:val="21"/>
                <w:szCs w:val="21"/>
                <w:lang w:val="en-US" w:eastAsia="zh-CN"/>
              </w:rPr>
              <w:t>指令类型</w:t>
            </w:r>
          </w:p>
        </w:tc>
        <w:tc>
          <w:tcPr>
            <w:tcW w:w="1698" w:type="dxa"/>
          </w:tcPr>
          <w:p w14:paraId="424246C8">
            <w:pPr>
              <w:spacing w:before="92"/>
              <w:ind w:firstLine="113"/>
              <w:jc w:val="center"/>
              <w:rPr>
                <w:rFonts w:hint="eastAsia" w:ascii="宋体" w:hAnsi="宋体" w:eastAsia="宋体" w:cs="宋体"/>
                <w:b/>
                <w:bCs/>
                <w:color w:val="010302"/>
                <w:lang w:val="en-US" w:eastAsia="zh-CN"/>
              </w:rPr>
            </w:pPr>
            <w:r>
              <w:rPr>
                <w:rFonts w:hint="eastAsia" w:ascii="宋体" w:hAnsi="宋体" w:eastAsia="宋体" w:cs="宋体"/>
                <w:b/>
                <w:bCs/>
                <w:color w:val="000000"/>
                <w:sz w:val="21"/>
                <w:szCs w:val="21"/>
                <w:lang w:val="en-US" w:eastAsia="zh-CN"/>
              </w:rPr>
              <w:t>市场</w:t>
            </w:r>
          </w:p>
        </w:tc>
        <w:tc>
          <w:tcPr>
            <w:tcW w:w="2121" w:type="dxa"/>
          </w:tcPr>
          <w:p w14:paraId="13DDD829">
            <w:pPr>
              <w:spacing w:before="92"/>
              <w:ind w:firstLine="113"/>
              <w:jc w:val="center"/>
              <w:rPr>
                <w:rFonts w:hint="eastAsia" w:ascii="宋体" w:hAnsi="宋体" w:eastAsia="宋体" w:cs="宋体"/>
                <w:b/>
                <w:bCs/>
                <w:color w:val="010302"/>
                <w:lang w:val="en-US"/>
              </w:rPr>
            </w:pPr>
            <w:r>
              <w:rPr>
                <w:rFonts w:hint="eastAsia" w:ascii="宋体" w:hAnsi="宋体" w:eastAsia="宋体" w:cs="宋体"/>
                <w:b/>
                <w:bCs/>
                <w:color w:val="000000"/>
                <w:sz w:val="21"/>
                <w:szCs w:val="21"/>
                <w:lang w:val="en-US" w:eastAsia="zh-CN"/>
              </w:rPr>
              <w:t>品种</w:t>
            </w:r>
          </w:p>
        </w:tc>
        <w:tc>
          <w:tcPr>
            <w:tcW w:w="2828" w:type="dxa"/>
          </w:tcPr>
          <w:p w14:paraId="66AFE8CB">
            <w:pPr>
              <w:spacing w:before="92"/>
              <w:ind w:firstLine="113"/>
              <w:jc w:val="center"/>
              <w:rPr>
                <w:rFonts w:hint="eastAsia" w:ascii="宋体" w:hAnsi="宋体" w:eastAsia="宋体" w:cs="宋体"/>
                <w:b/>
                <w:bCs/>
                <w:color w:val="010302"/>
                <w:lang w:val="en-US" w:eastAsia="zh-CN"/>
              </w:rPr>
            </w:pPr>
            <w:r>
              <w:rPr>
                <w:rFonts w:hint="eastAsia" w:ascii="宋体" w:hAnsi="宋体" w:eastAsia="宋体" w:cs="宋体"/>
                <w:b/>
                <w:bCs/>
                <w:color w:val="000000"/>
                <w:sz w:val="21"/>
                <w:szCs w:val="21"/>
                <w:lang w:val="en-US" w:eastAsia="zh-CN"/>
              </w:rPr>
              <w:t>交易类型</w:t>
            </w:r>
          </w:p>
        </w:tc>
      </w:tr>
      <w:tr w14:paraId="5928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trPr>
        <w:tc>
          <w:tcPr>
            <w:tcW w:w="1551" w:type="dxa"/>
            <w:vAlign w:val="top"/>
          </w:tcPr>
          <w:p w14:paraId="2BEA6CC9">
            <w:pPr>
              <w:spacing w:before="92"/>
              <w:ind w:left="93" w:leftChars="0"/>
              <w:jc w:val="center"/>
              <w:rPr>
                <w:rFonts w:hint="eastAsia" w:ascii="宋体" w:hAnsi="宋体" w:eastAsia="宋体" w:cs="宋体"/>
                <w:color w:val="010302"/>
                <w:kern w:val="2"/>
                <w:sz w:val="21"/>
                <w:szCs w:val="24"/>
                <w:lang w:val="en-US" w:eastAsia="zh-CN" w:bidi="ar-SA"/>
              </w:rPr>
            </w:pPr>
            <w:r>
              <w:rPr>
                <w:rFonts w:hint="eastAsia" w:ascii="宋体" w:hAnsi="宋体" w:eastAsia="宋体" w:cs="宋体"/>
                <w:color w:val="000000"/>
                <w:sz w:val="21"/>
                <w:szCs w:val="21"/>
              </w:rPr>
              <w:t>个股</w:t>
            </w:r>
            <w:r>
              <w:rPr>
                <w:rFonts w:hint="eastAsia" w:ascii="宋体" w:hAnsi="宋体" w:eastAsia="宋体" w:cs="宋体"/>
                <w:color w:val="000000"/>
                <w:spacing w:val="-2"/>
                <w:sz w:val="21"/>
                <w:szCs w:val="21"/>
              </w:rPr>
              <w:t>指令</w:t>
            </w:r>
          </w:p>
        </w:tc>
        <w:tc>
          <w:tcPr>
            <w:tcW w:w="1698" w:type="dxa"/>
            <w:vAlign w:val="top"/>
          </w:tcPr>
          <w:p w14:paraId="70C2D6B7">
            <w:pPr>
              <w:spacing w:before="92"/>
              <w:ind w:firstLine="113" w:firstLineChars="0"/>
              <w:jc w:val="center"/>
              <w:rPr>
                <w:rFonts w:hint="eastAsia" w:ascii="宋体" w:hAnsi="宋体" w:eastAsia="宋体" w:cs="宋体"/>
                <w:color w:val="010302"/>
                <w:kern w:val="2"/>
                <w:sz w:val="21"/>
                <w:szCs w:val="24"/>
                <w:lang w:val="en-US" w:eastAsia="zh-CN" w:bidi="ar-SA"/>
              </w:rPr>
            </w:pPr>
            <w:r>
              <w:rPr>
                <w:rFonts w:hint="eastAsia" w:ascii="宋体" w:hAnsi="宋体" w:eastAsia="宋体" w:cs="宋体"/>
                <w:color w:val="000000"/>
                <w:sz w:val="21"/>
                <w:szCs w:val="21"/>
              </w:rPr>
              <w:t>上海</w:t>
            </w:r>
            <w:r>
              <w:rPr>
                <w:rFonts w:hint="eastAsia" w:ascii="宋体" w:hAnsi="宋体" w:eastAsia="宋体" w:cs="宋体"/>
                <w:color w:val="000000"/>
                <w:spacing w:val="-2"/>
                <w:sz w:val="21"/>
                <w:szCs w:val="21"/>
              </w:rPr>
              <w:t>、</w:t>
            </w:r>
            <w:r>
              <w:rPr>
                <w:rFonts w:hint="eastAsia" w:ascii="宋体" w:hAnsi="宋体" w:eastAsia="宋体" w:cs="宋体"/>
                <w:color w:val="000000"/>
                <w:sz w:val="21"/>
                <w:szCs w:val="21"/>
              </w:rPr>
              <w:t>深圳</w:t>
            </w:r>
          </w:p>
        </w:tc>
        <w:tc>
          <w:tcPr>
            <w:tcW w:w="2121" w:type="dxa"/>
            <w:vAlign w:val="top"/>
          </w:tcPr>
          <w:p w14:paraId="343C6ECA">
            <w:pPr>
              <w:spacing w:before="92"/>
              <w:ind w:firstLine="113" w:firstLineChars="0"/>
              <w:jc w:val="center"/>
              <w:rPr>
                <w:rFonts w:hint="eastAsia" w:ascii="宋体" w:hAnsi="宋体" w:eastAsia="宋体" w:cs="宋体"/>
                <w:color w:val="010302"/>
                <w:kern w:val="2"/>
                <w:sz w:val="21"/>
                <w:szCs w:val="24"/>
                <w:lang w:val="en-US" w:eastAsia="zh-CN" w:bidi="ar-SA"/>
              </w:rPr>
            </w:pPr>
            <w:r>
              <w:rPr>
                <w:rFonts w:hint="eastAsia" w:ascii="宋体" w:hAnsi="宋体" w:eastAsia="宋体" w:cs="宋体"/>
                <w:color w:val="000000"/>
                <w:sz w:val="21"/>
                <w:szCs w:val="21"/>
                <w:lang w:eastAsia="zh-CN"/>
              </w:rPr>
              <w:t>ETF</w:t>
            </w:r>
            <w:r>
              <w:rPr>
                <w:rFonts w:hint="eastAsia" w:ascii="宋体" w:hAnsi="宋体" w:eastAsia="宋体" w:cs="宋体"/>
                <w:color w:val="000000"/>
                <w:sz w:val="21"/>
                <w:szCs w:val="21"/>
              </w:rPr>
              <w:t>基</w:t>
            </w:r>
            <w:r>
              <w:rPr>
                <w:rFonts w:hint="eastAsia" w:ascii="宋体" w:hAnsi="宋体" w:eastAsia="宋体" w:cs="宋体"/>
                <w:color w:val="000000"/>
                <w:spacing w:val="-2"/>
                <w:sz w:val="21"/>
                <w:szCs w:val="21"/>
              </w:rPr>
              <w:t>金</w:t>
            </w:r>
          </w:p>
        </w:tc>
        <w:tc>
          <w:tcPr>
            <w:tcW w:w="2828" w:type="dxa"/>
            <w:vAlign w:val="top"/>
          </w:tcPr>
          <w:p w14:paraId="1C6305AB">
            <w:pPr>
              <w:spacing w:before="92"/>
              <w:ind w:firstLine="113" w:firstLineChars="0"/>
              <w:jc w:val="center"/>
              <w:rPr>
                <w:rFonts w:hint="eastAsia" w:ascii="宋体" w:hAnsi="宋体" w:eastAsia="宋体" w:cs="宋体"/>
                <w:color w:val="010302"/>
                <w:kern w:val="2"/>
                <w:sz w:val="21"/>
                <w:szCs w:val="24"/>
                <w:lang w:val="en-US" w:eastAsia="zh-CN" w:bidi="ar-SA"/>
              </w:rPr>
            </w:pPr>
            <w:r>
              <w:rPr>
                <w:rFonts w:hint="eastAsia" w:ascii="宋体" w:hAnsi="宋体" w:eastAsia="宋体" w:cs="宋体"/>
                <w:color w:val="000000"/>
                <w:sz w:val="21"/>
                <w:szCs w:val="21"/>
              </w:rPr>
              <w:t>买入</w:t>
            </w:r>
            <w:r>
              <w:rPr>
                <w:rFonts w:hint="eastAsia" w:ascii="宋体" w:hAnsi="宋体" w:eastAsia="宋体" w:cs="宋体"/>
                <w:color w:val="000000"/>
                <w:spacing w:val="-2"/>
                <w:sz w:val="21"/>
                <w:szCs w:val="21"/>
              </w:rPr>
              <w:t>、</w:t>
            </w:r>
            <w:r>
              <w:rPr>
                <w:rFonts w:hint="eastAsia" w:ascii="宋体" w:hAnsi="宋体" w:eastAsia="宋体" w:cs="宋体"/>
                <w:color w:val="000000"/>
                <w:sz w:val="21"/>
                <w:szCs w:val="21"/>
              </w:rPr>
              <w:t>卖</w:t>
            </w:r>
            <w:r>
              <w:rPr>
                <w:rFonts w:hint="eastAsia" w:ascii="宋体" w:hAnsi="宋体" w:eastAsia="宋体" w:cs="宋体"/>
                <w:color w:val="000000"/>
                <w:spacing w:val="-2"/>
                <w:sz w:val="21"/>
                <w:szCs w:val="21"/>
              </w:rPr>
              <w:t>出</w:t>
            </w:r>
          </w:p>
        </w:tc>
      </w:tr>
    </w:tbl>
    <w:p w14:paraId="794A6EB0">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28" w:name="_Toc7944"/>
      <w:r>
        <w:rPr>
          <w:rFonts w:hint="eastAsia" w:ascii="宋体" w:hAnsi="宋体" w:eastAsia="宋体" w:cs="宋体"/>
          <w:sz w:val="28"/>
          <w:szCs w:val="28"/>
          <w:lang w:val="en-US" w:eastAsia="zh-CN"/>
        </w:rPr>
        <w:t>指令下达</w:t>
      </w:r>
      <w:bookmarkEnd w:id="28"/>
    </w:p>
    <w:p w14:paraId="6F59C15D">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个股指令下达</w:t>
      </w:r>
    </w:p>
    <w:p w14:paraId="1113957A">
      <w:pPr>
        <w:pStyle w:val="6"/>
        <w:keepNext/>
        <w:keepLines/>
        <w:pageBreakBefore w:val="0"/>
        <w:widowControl w:val="0"/>
        <w:numPr>
          <w:ilvl w:val="4"/>
          <w:numId w:val="2"/>
        </w:numPr>
        <w:kinsoku/>
        <w:wordWrap/>
        <w:overflowPunct/>
        <w:topLinePunct w:val="0"/>
        <w:autoSpaceDE/>
        <w:autoSpaceDN/>
        <w:bidi w:val="0"/>
        <w:adjustRightInd/>
        <w:snapToGrid/>
        <w:spacing w:before="157" w:beforeLines="50" w:after="157" w:afterLines="50" w:line="240" w:lineRule="auto"/>
        <w:ind w:left="991" w:leftChars="0" w:hanging="991"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参数释义</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6996"/>
      </w:tblGrid>
      <w:tr w14:paraId="219F8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3A7BFA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参数</w:t>
            </w:r>
          </w:p>
        </w:tc>
        <w:tc>
          <w:tcPr>
            <w:tcW w:w="6996" w:type="dxa"/>
          </w:tcPr>
          <w:p w14:paraId="06DE38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说明</w:t>
            </w:r>
          </w:p>
        </w:tc>
      </w:tr>
      <w:tr w14:paraId="09AD2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top"/>
          </w:tcPr>
          <w:p w14:paraId="7748F1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4"/>
                <w:vertAlign w:val="baseline"/>
                <w:lang w:val="en-US" w:eastAsia="zh-CN" w:bidi="ar-SA"/>
              </w:rPr>
            </w:pPr>
            <w:r>
              <w:rPr>
                <w:rFonts w:hint="eastAsia" w:ascii="宋体" w:hAnsi="宋体" w:eastAsia="宋体" w:cs="宋体"/>
                <w:vertAlign w:val="baseline"/>
                <w:lang w:val="en-US" w:eastAsia="zh-CN"/>
              </w:rPr>
              <w:t>证券代码</w:t>
            </w:r>
          </w:p>
        </w:tc>
        <w:tc>
          <w:tcPr>
            <w:tcW w:w="6996" w:type="dxa"/>
            <w:vAlign w:val="top"/>
          </w:tcPr>
          <w:p w14:paraId="0F66839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2"/>
                <w:sz w:val="21"/>
                <w:szCs w:val="24"/>
                <w:vertAlign w:val="baseline"/>
                <w:lang w:val="en-US" w:eastAsia="zh-CN" w:bidi="ar-SA"/>
              </w:rPr>
            </w:pPr>
            <w:r>
              <w:rPr>
                <w:rFonts w:hint="eastAsia" w:ascii="宋体" w:hAnsi="宋体" w:eastAsia="宋体" w:cs="宋体"/>
                <w:vertAlign w:val="baseline"/>
                <w:lang w:val="en-US" w:eastAsia="zh-CN"/>
              </w:rPr>
              <w:t>必填，支持模糊匹配</w:t>
            </w:r>
          </w:p>
        </w:tc>
      </w:tr>
      <w:tr w14:paraId="709E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682FBA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指令方向</w:t>
            </w:r>
          </w:p>
        </w:tc>
        <w:tc>
          <w:tcPr>
            <w:tcW w:w="6996" w:type="dxa"/>
          </w:tcPr>
          <w:p w14:paraId="049B40F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必填，枚举值：买入、卖出</w:t>
            </w:r>
          </w:p>
        </w:tc>
      </w:tr>
      <w:tr w14:paraId="2026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12CBAA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报价类型</w:t>
            </w:r>
          </w:p>
        </w:tc>
        <w:tc>
          <w:tcPr>
            <w:tcW w:w="6996" w:type="dxa"/>
          </w:tcPr>
          <w:p w14:paraId="296743E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必选</w:t>
            </w:r>
          </w:p>
          <w:p w14:paraId="7F63BEA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限价：指令模式为普通交易复核和主动管理时，可选限价  </w:t>
            </w:r>
          </w:p>
          <w:p w14:paraId="3EDB9F5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不限价：指令模式为主动管理时，可选不限价  </w:t>
            </w:r>
          </w:p>
          <w:p w14:paraId="2BE4594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市价：本方最优、对手方最优、即成剩撤、全额成交或撤、五档即成剩撤。指令模式为普通交易复核时，可选市价类型 </w:t>
            </w:r>
          </w:p>
        </w:tc>
      </w:tr>
      <w:tr w14:paraId="67D65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22805A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指令价格</w:t>
            </w:r>
          </w:p>
        </w:tc>
        <w:tc>
          <w:tcPr>
            <w:tcW w:w="6996" w:type="dxa"/>
          </w:tcPr>
          <w:p w14:paraId="79F0206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必填</w:t>
            </w:r>
          </w:p>
        </w:tc>
      </w:tr>
      <w:tr w14:paraId="79B4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683882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目标类型</w:t>
            </w:r>
          </w:p>
        </w:tc>
        <w:tc>
          <w:tcPr>
            <w:tcW w:w="6996" w:type="dxa"/>
          </w:tcPr>
          <w:p w14:paraId="438C412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必选</w:t>
            </w:r>
          </w:p>
          <w:p w14:paraId="5737547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1）当指令方向为买入时，选项包括：  </w:t>
            </w:r>
          </w:p>
          <w:p w14:paraId="1CA79EA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 按委托总股数  </w:t>
            </w:r>
          </w:p>
          <w:p w14:paraId="18D63C8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 按委托总金额  </w:t>
            </w:r>
          </w:p>
          <w:p w14:paraId="420539C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 按总资产占比  </w:t>
            </w:r>
          </w:p>
          <w:p w14:paraId="2837277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 按可用资金比例  </w:t>
            </w:r>
          </w:p>
          <w:p w14:paraId="318ED63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2）当指令方向为卖出时，选项包括：  </w:t>
            </w:r>
          </w:p>
          <w:p w14:paraId="07360F3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 按委托总股数  </w:t>
            </w:r>
          </w:p>
          <w:p w14:paraId="38CF822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 按可卖数量比例  </w:t>
            </w:r>
          </w:p>
        </w:tc>
      </w:tr>
      <w:tr w14:paraId="62F58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511316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指令数量</w:t>
            </w:r>
          </w:p>
        </w:tc>
        <w:tc>
          <w:tcPr>
            <w:tcW w:w="6996" w:type="dxa"/>
          </w:tcPr>
          <w:p w14:paraId="32D2CB3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必填</w:t>
            </w:r>
          </w:p>
          <w:p w14:paraId="061F97A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1）当目标类型为按委托总股数时，指令数量单位为股；  </w:t>
            </w:r>
          </w:p>
          <w:p w14:paraId="78FF356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2）当目标类型为按委托总金额时，指令数量单位为元。  </w:t>
            </w:r>
          </w:p>
        </w:tc>
      </w:tr>
      <w:tr w14:paraId="3C80C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390113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目标比例</w:t>
            </w:r>
          </w:p>
        </w:tc>
        <w:tc>
          <w:tcPr>
            <w:tcW w:w="6996" w:type="dxa"/>
          </w:tcPr>
          <w:p w14:paraId="496B7E9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必填。 </w:t>
            </w:r>
          </w:p>
          <w:p w14:paraId="7214565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当目标类型为按总资产占比、按可用资金比例、按可卖数量比例时，该字 </w:t>
            </w:r>
          </w:p>
          <w:p w14:paraId="6F5D99B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段必填。</w:t>
            </w:r>
          </w:p>
        </w:tc>
      </w:tr>
      <w:tr w14:paraId="76961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6B5ECE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分配策略</w:t>
            </w:r>
          </w:p>
        </w:tc>
        <w:tc>
          <w:tcPr>
            <w:tcW w:w="6996" w:type="dxa"/>
          </w:tcPr>
          <w:p w14:paraId="3E2D99E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必选。目标类型选择按委托总股数、按委托总金额时，可选择该字段：  </w:t>
            </w:r>
          </w:p>
          <w:p w14:paraId="73745D3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顺序分配：各资金账号的指令数量=min(可买or可卖数量，指令数量)  </w:t>
            </w:r>
          </w:p>
          <w:p w14:paraId="4F5FFC8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按可用金额比例分配：各资金账号的指令数量=min(可买or可卖数量， </w:t>
            </w:r>
          </w:p>
          <w:p w14:paraId="4C57D7A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指令数量*可用金额占比)  </w:t>
            </w:r>
          </w:p>
          <w:p w14:paraId="1841519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总资产比例分配：各资金账号的指令数量=min(可买or可卖数量，指 </w:t>
            </w:r>
          </w:p>
          <w:p w14:paraId="6479454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令数量*总资产占比)  </w:t>
            </w:r>
          </w:p>
          <w:p w14:paraId="04BD43D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自定义比例分配：各资金账号的指令数量=min(可买or可卖数量，指 </w:t>
            </w:r>
          </w:p>
          <w:p w14:paraId="7DDDFB6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令数量*自定义比例)  </w:t>
            </w:r>
          </w:p>
        </w:tc>
      </w:tr>
      <w:tr w14:paraId="45FD9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15AD98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分配给</w:t>
            </w:r>
          </w:p>
        </w:tc>
        <w:tc>
          <w:tcPr>
            <w:tcW w:w="6996" w:type="dxa"/>
          </w:tcPr>
          <w:p w14:paraId="1708E8F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默认不指定，即下一节点所有用户均可处理该指令；  </w:t>
            </w:r>
          </w:p>
          <w:p w14:paraId="3FFA544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如选择下一指令节点指定用户，则仅指定用户可处理该指令。</w:t>
            </w:r>
          </w:p>
        </w:tc>
      </w:tr>
      <w:tr w14:paraId="2D665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6F5706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指令模式</w:t>
            </w:r>
          </w:p>
        </w:tc>
        <w:tc>
          <w:tcPr>
            <w:tcW w:w="6996" w:type="dxa"/>
          </w:tcPr>
          <w:p w14:paraId="60D4F16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主动模式时：默认展示主动管理，不可选择；  </w:t>
            </w:r>
          </w:p>
          <w:p w14:paraId="6D68770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复核模式时：可选择普通交易复核</w:t>
            </w:r>
          </w:p>
        </w:tc>
      </w:tr>
      <w:tr w14:paraId="19270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268144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到期日期</w:t>
            </w:r>
          </w:p>
        </w:tc>
        <w:tc>
          <w:tcPr>
            <w:tcW w:w="6996" w:type="dxa"/>
          </w:tcPr>
          <w:p w14:paraId="28B2552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主动模式时：默认展示当日，可选择未来3个月时间，即跨日指令  </w:t>
            </w:r>
          </w:p>
          <w:p w14:paraId="66C174C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复核模式时：展示当日，不可编辑，不支持跨日</w:t>
            </w:r>
          </w:p>
        </w:tc>
      </w:tr>
      <w:tr w14:paraId="095F1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447114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指令备注</w:t>
            </w:r>
          </w:p>
        </w:tc>
        <w:tc>
          <w:tcPr>
            <w:tcW w:w="6996" w:type="dxa"/>
          </w:tcPr>
          <w:p w14:paraId="1DF19EA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选填</w:t>
            </w:r>
          </w:p>
        </w:tc>
      </w:tr>
    </w:tbl>
    <w:p w14:paraId="3ABB7222">
      <w:pPr>
        <w:rPr>
          <w:rFonts w:hint="eastAsia" w:ascii="宋体" w:hAnsi="宋体" w:eastAsia="宋体" w:cs="宋体"/>
          <w:lang w:val="en-US" w:eastAsia="zh-CN"/>
        </w:rPr>
      </w:pPr>
    </w:p>
    <w:p w14:paraId="2B6C159C">
      <w:pPr>
        <w:pStyle w:val="6"/>
        <w:keepNext/>
        <w:keepLines/>
        <w:pageBreakBefore w:val="0"/>
        <w:widowControl w:val="0"/>
        <w:numPr>
          <w:ilvl w:val="4"/>
          <w:numId w:val="2"/>
        </w:numPr>
        <w:kinsoku/>
        <w:wordWrap/>
        <w:overflowPunct/>
        <w:topLinePunct w:val="0"/>
        <w:autoSpaceDE/>
        <w:autoSpaceDN/>
        <w:bidi w:val="0"/>
        <w:adjustRightInd/>
        <w:snapToGrid/>
        <w:spacing w:before="157" w:beforeLines="50" w:after="157" w:afterLines="50" w:line="240" w:lineRule="auto"/>
        <w:ind w:left="991" w:leftChars="0" w:hanging="991"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操作说明</w:t>
      </w:r>
    </w:p>
    <w:p w14:paraId="66BBA052">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入口：【指令流程】-&gt;【指令下达】-&gt;【个股下达】；</w:t>
      </w:r>
    </w:p>
    <w:p w14:paraId="4C5D5F81">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选择资金账号；  </w:t>
      </w:r>
    </w:p>
    <w:p w14:paraId="549BFEDB">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编辑指令要素，要素说明见《4.3.2.1.1参数释义》;  </w:t>
      </w:r>
    </w:p>
    <w:p w14:paraId="1436B04E">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点击指令下达按钮；  </w:t>
      </w:r>
    </w:p>
    <w:p w14:paraId="611B4B9C">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弹框点击确认即完成指令下达。</w:t>
      </w:r>
    </w:p>
    <w:p w14:paraId="602C2CED">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29" w:name="_Toc21539"/>
      <w:r>
        <w:rPr>
          <w:rFonts w:hint="eastAsia" w:ascii="宋体" w:hAnsi="宋体" w:eastAsia="宋体" w:cs="宋体"/>
          <w:sz w:val="28"/>
          <w:szCs w:val="28"/>
          <w:lang w:val="en-US" w:eastAsia="zh-CN"/>
        </w:rPr>
        <w:t>指令审批</w:t>
      </w:r>
      <w:bookmarkEnd w:id="29"/>
    </w:p>
    <w:p w14:paraId="4B36A83E">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入口：【指令流程】-&gt;【指令审批】；  </w:t>
      </w:r>
    </w:p>
    <w:p w14:paraId="4A9A251D">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选择需要审批的指令，可多选；  </w:t>
      </w:r>
    </w:p>
    <w:p w14:paraId="6E1BC86D">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点击指令审批通过或者指令拒绝按钮；  </w:t>
      </w:r>
    </w:p>
    <w:p w14:paraId="2B8DD7A5">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如点击指令审批通过，选择下一节点人员；  </w:t>
      </w:r>
    </w:p>
    <w:p w14:paraId="2F4B5028">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点击确认，即可完成指令审批。</w:t>
      </w:r>
    </w:p>
    <w:p w14:paraId="551C8D68">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30" w:name="_Toc4259"/>
      <w:r>
        <w:rPr>
          <w:rFonts w:hint="eastAsia" w:ascii="宋体" w:hAnsi="宋体" w:eastAsia="宋体" w:cs="宋体"/>
          <w:sz w:val="28"/>
          <w:szCs w:val="28"/>
          <w:lang w:val="en-US" w:eastAsia="zh-CN"/>
        </w:rPr>
        <w:t>指令分发</w:t>
      </w:r>
      <w:bookmarkEnd w:id="30"/>
    </w:p>
    <w:p w14:paraId="36FAA4AA">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入口：【指令流程】-&gt;【指令分发】；  </w:t>
      </w:r>
    </w:p>
    <w:p w14:paraId="08BAFD54">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选择需要分发的指令，可多选；  </w:t>
      </w:r>
    </w:p>
    <w:p w14:paraId="559DB273">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点击指令分发或者指令拒绝按钮；  </w:t>
      </w:r>
    </w:p>
    <w:p w14:paraId="2216C845">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如点击指令分发，选择下一节点人员；  </w:t>
      </w:r>
    </w:p>
    <w:p w14:paraId="435143FD">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点击确认，即可完成指令分发。</w:t>
      </w:r>
    </w:p>
    <w:p w14:paraId="1C6DED08">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31" w:name="_Toc27419"/>
      <w:r>
        <w:rPr>
          <w:rFonts w:hint="eastAsia" w:ascii="宋体" w:hAnsi="宋体" w:eastAsia="宋体" w:cs="宋体"/>
          <w:sz w:val="28"/>
          <w:szCs w:val="28"/>
          <w:lang w:val="en-US" w:eastAsia="zh-CN"/>
        </w:rPr>
        <w:t>指令执行</w:t>
      </w:r>
      <w:bookmarkEnd w:id="31"/>
    </w:p>
    <w:p w14:paraId="7CC89A42">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主动执行</w:t>
      </w:r>
    </w:p>
    <w:p w14:paraId="4F8E88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个股指令主动执行操作步骤如下：</w:t>
      </w:r>
    </w:p>
    <w:p w14:paraId="63BBEE7F">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入口：【指令流程】-&gt;【指令执行】-&gt;【主动执行】；  </w:t>
      </w:r>
    </w:p>
    <w:p w14:paraId="2C8980B4">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双击待执行的指令；  </w:t>
      </w:r>
    </w:p>
    <w:p w14:paraId="3DCDAF9B">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在执行面板编辑委托价格、委托数量。 </w:t>
      </w:r>
    </w:p>
    <w:p w14:paraId="7F5430E8">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复核执行</w:t>
      </w:r>
    </w:p>
    <w:p w14:paraId="2FEE32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个股指令复核执行操作步骤如 下：  </w:t>
      </w:r>
    </w:p>
    <w:p w14:paraId="0F0B95E2">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入口：【指令流程】-&gt;【指令执行】-&gt;【复核执行】；  </w:t>
      </w:r>
    </w:p>
    <w:p w14:paraId="0BE0B6C3">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双击待执行的指令；  </w:t>
      </w:r>
    </w:p>
    <w:p w14:paraId="38B671EA">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执行面板的指令要素进行核对，不可编辑；  </w:t>
      </w:r>
    </w:p>
    <w:p w14:paraId="6D532375">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如指令下达时设置算法，可点击查看算法参数按钮进行算法参数校验；  </w:t>
      </w:r>
    </w:p>
    <w:p w14:paraId="4054292B">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点击通过后弹框继续点击下单。  </w:t>
      </w:r>
    </w:p>
    <w:p w14:paraId="2EBD1934">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32" w:name="_Toc374"/>
      <w:r>
        <w:rPr>
          <w:rFonts w:hint="eastAsia" w:ascii="宋体" w:hAnsi="宋体" w:eastAsia="宋体" w:cs="宋体"/>
          <w:sz w:val="28"/>
          <w:szCs w:val="28"/>
          <w:lang w:val="en-US" w:eastAsia="zh-CN"/>
        </w:rPr>
        <w:t>指令撤销</w:t>
      </w:r>
      <w:bookmarkEnd w:id="32"/>
    </w:p>
    <w:p w14:paraId="5389F2C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指令下达员可对自己下达的指令进行撤销。  </w:t>
      </w:r>
    </w:p>
    <w:p w14:paraId="25EB0333">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入口：【指令流程】-&gt;【指令下达】-&gt;各指令下达菜单入口；  </w:t>
      </w:r>
    </w:p>
    <w:p w14:paraId="0BD3D864">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点击指令管理组件；  </w:t>
      </w:r>
    </w:p>
    <w:p w14:paraId="7A145399">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勾选需要撤销的指令，可多选；  </w:t>
      </w:r>
    </w:p>
    <w:p w14:paraId="66B94F13">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点击撤销按钮；  </w:t>
      </w:r>
    </w:p>
    <w:p w14:paraId="2548D581">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弹框点击确认，即可展示撤销结果。</w:t>
      </w:r>
    </w:p>
    <w:p w14:paraId="7348A3A8">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28"/>
          <w:szCs w:val="28"/>
          <w:lang w:val="en-US" w:eastAsia="zh-CN"/>
        </w:rPr>
      </w:pPr>
      <w:bookmarkStart w:id="33" w:name="_Toc3086"/>
      <w:r>
        <w:rPr>
          <w:rFonts w:hint="eastAsia" w:ascii="宋体" w:hAnsi="宋体" w:eastAsia="宋体" w:cs="宋体"/>
          <w:sz w:val="28"/>
          <w:szCs w:val="28"/>
          <w:lang w:val="en-US" w:eastAsia="zh-CN"/>
        </w:rPr>
        <w:t>运营管理</w:t>
      </w:r>
      <w:bookmarkEnd w:id="33"/>
    </w:p>
    <w:p w14:paraId="082F8BE7">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34" w:name="_Toc1664"/>
      <w:r>
        <w:rPr>
          <w:rFonts w:hint="eastAsia" w:ascii="宋体" w:hAnsi="宋体" w:eastAsia="宋体" w:cs="宋体"/>
          <w:sz w:val="28"/>
          <w:szCs w:val="28"/>
          <w:lang w:val="en-US" w:eastAsia="zh-CN"/>
        </w:rPr>
        <w:t>消息中心</w:t>
      </w:r>
      <w:bookmarkEnd w:id="34"/>
    </w:p>
    <w:p w14:paraId="0ED408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展示当前用户关联的全部资金账号接收到的消息通知，支持用户按产品、资金账号、消息类型、消息子类和阅读状态筛选列表消息。支持设置系统消息、指令消息、交易通知和组合交易通知的不同通知方式的开关，如下图所示：</w:t>
      </w:r>
    </w:p>
    <w:p w14:paraId="0A706923">
      <w:pPr>
        <w:rPr>
          <w:rFonts w:hint="eastAsia" w:ascii="宋体" w:hAnsi="宋体" w:eastAsia="宋体" w:cs="宋体"/>
          <w:lang w:val="en-US" w:eastAsia="zh-CN"/>
        </w:rPr>
      </w:pPr>
      <w:r>
        <w:rPr>
          <w:rFonts w:hint="eastAsia" w:ascii="宋体" w:hAnsi="宋体" w:eastAsia="宋体" w:cs="宋体"/>
        </w:rPr>
        <w:drawing>
          <wp:inline distT="0" distB="0" distL="114300" distR="114300">
            <wp:extent cx="5273040" cy="2654935"/>
            <wp:effectExtent l="0" t="0" r="3810" b="12065"/>
            <wp:docPr id="19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60"/>
                    <pic:cNvPicPr>
                      <a:picLocks noChangeAspect="1"/>
                    </pic:cNvPicPr>
                  </pic:nvPicPr>
                  <pic:blipFill>
                    <a:blip r:embed="rId104"/>
                    <a:stretch>
                      <a:fillRect/>
                    </a:stretch>
                  </pic:blipFill>
                  <pic:spPr>
                    <a:xfrm>
                      <a:off x="0" y="0"/>
                      <a:ext cx="5273040" cy="2654935"/>
                    </a:xfrm>
                    <a:prstGeom prst="rect">
                      <a:avLst/>
                    </a:prstGeom>
                    <a:noFill/>
                    <a:ln>
                      <a:noFill/>
                    </a:ln>
                  </pic:spPr>
                </pic:pic>
              </a:graphicData>
            </a:graphic>
          </wp:inline>
        </w:drawing>
      </w:r>
    </w:p>
    <w:p w14:paraId="5F51B09B">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28"/>
          <w:szCs w:val="28"/>
          <w:lang w:val="en-US" w:eastAsia="zh-CN"/>
        </w:rPr>
      </w:pPr>
      <w:bookmarkStart w:id="35" w:name="_Toc32489"/>
      <w:r>
        <w:rPr>
          <w:rFonts w:hint="eastAsia" w:ascii="宋体" w:hAnsi="宋体" w:eastAsia="宋体" w:cs="宋体"/>
          <w:sz w:val="28"/>
          <w:szCs w:val="28"/>
          <w:lang w:val="en-US" w:eastAsia="zh-CN"/>
        </w:rPr>
        <w:t>收藏</w:t>
      </w:r>
      <w:bookmarkEnd w:id="35"/>
    </w:p>
    <w:p w14:paraId="3D1C8A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支持用户收藏二级菜单页面，实现快速访问。</w:t>
      </w:r>
    </w:p>
    <w:p w14:paraId="3C8B49AD">
      <w:pPr>
        <w:pStyle w:val="2"/>
        <w:keepNext/>
        <w:keepLines/>
        <w:pageBreakBefore w:val="0"/>
        <w:widowControl w:val="0"/>
        <w:numPr>
          <w:ilvl w:val="0"/>
          <w:numId w:val="2"/>
        </w:numPr>
        <w:kinsoku/>
        <w:wordWrap/>
        <w:overflowPunct/>
        <w:topLinePunct w:val="0"/>
        <w:autoSpaceDE/>
        <w:autoSpaceDN/>
        <w:bidi w:val="0"/>
        <w:adjustRightInd/>
        <w:snapToGrid/>
        <w:spacing w:before="240" w:after="240" w:line="240" w:lineRule="auto"/>
        <w:ind w:left="425" w:leftChars="0" w:hanging="425" w:firstLineChars="0"/>
        <w:textAlignment w:val="auto"/>
        <w:rPr>
          <w:rFonts w:hint="eastAsia" w:ascii="宋体" w:hAnsi="宋体" w:eastAsia="宋体" w:cs="宋体"/>
          <w:sz w:val="30"/>
          <w:szCs w:val="30"/>
          <w:lang w:val="en-US" w:eastAsia="zh-CN"/>
        </w:rPr>
      </w:pPr>
      <w:bookmarkStart w:id="36" w:name="_Toc31520"/>
      <w:r>
        <w:rPr>
          <w:rFonts w:hint="eastAsia" w:ascii="宋体" w:hAnsi="宋体" w:eastAsia="宋体" w:cs="宋体"/>
          <w:sz w:val="30"/>
          <w:szCs w:val="30"/>
          <w:lang w:val="en-US" w:eastAsia="zh-CN"/>
        </w:rPr>
        <w:t>特色服务</w:t>
      </w:r>
      <w:bookmarkEnd w:id="36"/>
    </w:p>
    <w:p w14:paraId="7F2918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特色服务是MATIC系统为机构客户提供的相关服务，支持的功能如下：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6551"/>
      </w:tblGrid>
      <w:tr w14:paraId="236C8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1" w:type="dxa"/>
          </w:tcPr>
          <w:p w14:paraId="7DF3F33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功能</w:t>
            </w:r>
          </w:p>
        </w:tc>
        <w:tc>
          <w:tcPr>
            <w:tcW w:w="6551" w:type="dxa"/>
          </w:tcPr>
          <w:p w14:paraId="3C2A28D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功能描述</w:t>
            </w:r>
          </w:p>
        </w:tc>
      </w:tr>
      <w:tr w14:paraId="5B74D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1" w:type="dxa"/>
            <w:vAlign w:val="center"/>
          </w:tcPr>
          <w:p w14:paraId="6EFF5BD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私募一体化</w:t>
            </w:r>
          </w:p>
        </w:tc>
        <w:tc>
          <w:tcPr>
            <w:tcW w:w="6551" w:type="dxa"/>
          </w:tcPr>
          <w:p w14:paraId="7A4B7154">
            <w:pPr>
              <w:keepNext w:val="0"/>
              <w:keepLines w:val="0"/>
              <w:pageBreakBefore w:val="0"/>
              <w:widowControl w:val="0"/>
              <w:numPr>
                <w:ilvl w:val="0"/>
                <w:numId w:val="18"/>
              </w:numPr>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点击“特色服务-私募一体化”菜单进入私募一体化介绍页</w:t>
            </w:r>
          </w:p>
          <w:p w14:paraId="1002A211">
            <w:pPr>
              <w:keepNext w:val="0"/>
              <w:keepLines w:val="0"/>
              <w:pageBreakBefore w:val="0"/>
              <w:widowControl w:val="0"/>
              <w:numPr>
                <w:ilvl w:val="0"/>
                <w:numId w:val="18"/>
              </w:numPr>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点击“申请使用”，可申请私募一体化系统账号</w:t>
            </w:r>
          </w:p>
          <w:p w14:paraId="11507091">
            <w:pPr>
              <w:keepNext w:val="0"/>
              <w:keepLines w:val="0"/>
              <w:pageBreakBefore w:val="0"/>
              <w:widowControl w:val="0"/>
              <w:numPr>
                <w:ilvl w:val="0"/>
                <w:numId w:val="18"/>
              </w:numPr>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点击“进入系统”，可链接至私募一体化业务系统登录页（系统服务由第三方提供）  </w:t>
            </w:r>
          </w:p>
        </w:tc>
      </w:tr>
      <w:tr w14:paraId="3ED8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1" w:type="dxa"/>
            <w:vAlign w:val="center"/>
          </w:tcPr>
          <w:p w14:paraId="69BE74E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量化投研平台</w:t>
            </w:r>
          </w:p>
        </w:tc>
        <w:tc>
          <w:tcPr>
            <w:tcW w:w="6551" w:type="dxa"/>
          </w:tcPr>
          <w:p w14:paraId="456861E2">
            <w:pPr>
              <w:keepNext w:val="0"/>
              <w:keepLines w:val="0"/>
              <w:pageBreakBefore w:val="0"/>
              <w:widowControl w:val="0"/>
              <w:numPr>
                <w:ilvl w:val="0"/>
                <w:numId w:val="19"/>
              </w:numPr>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点击“特色服务-量化投研平台”菜单进入量化投研平台介绍页</w:t>
            </w:r>
          </w:p>
          <w:p w14:paraId="021EE637">
            <w:pPr>
              <w:keepNext w:val="0"/>
              <w:keepLines w:val="0"/>
              <w:pageBreakBefore w:val="0"/>
              <w:widowControl w:val="0"/>
              <w:numPr>
                <w:ilvl w:val="0"/>
                <w:numId w:val="19"/>
              </w:numPr>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点击“申请使用”，可申请量化投研平台资源服务（资源服务由第三方提供） </w:t>
            </w:r>
          </w:p>
        </w:tc>
      </w:tr>
      <w:tr w14:paraId="0E06E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1" w:type="dxa"/>
          </w:tcPr>
          <w:p w14:paraId="2C6E673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低延时实验室</w:t>
            </w:r>
          </w:p>
        </w:tc>
        <w:tc>
          <w:tcPr>
            <w:tcW w:w="6551" w:type="dxa"/>
          </w:tcPr>
          <w:p w14:paraId="5F972F28">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点击“特色服务-低延时实验室”菜单进入低延时实验室介绍页（具体服务由第三方提供）</w:t>
            </w:r>
          </w:p>
        </w:tc>
      </w:tr>
    </w:tbl>
    <w:p w14:paraId="78C1F718">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28"/>
          <w:szCs w:val="28"/>
          <w:lang w:val="en-US" w:eastAsia="zh-CN"/>
        </w:rPr>
      </w:pPr>
      <w:bookmarkStart w:id="37" w:name="_Toc16405"/>
      <w:r>
        <w:rPr>
          <w:rFonts w:hint="eastAsia" w:ascii="宋体" w:hAnsi="宋体" w:eastAsia="宋体" w:cs="宋体"/>
          <w:sz w:val="28"/>
          <w:szCs w:val="28"/>
          <w:lang w:val="en-US" w:eastAsia="zh-CN"/>
        </w:rPr>
        <w:t>私募一体化</w:t>
      </w:r>
      <w:bookmarkEnd w:id="37"/>
    </w:p>
    <w:p w14:paraId="7AE222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私募一体化功能界面展示产品介绍、申请使用按钮和第三方系统跳转按钮。</w:t>
      </w:r>
    </w:p>
    <w:p w14:paraId="128B75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点击MATIC客户端上方特色服务-私募一体化菜单进入私募一体化介绍页面，具体页面如下：</w:t>
      </w:r>
    </w:p>
    <w:p w14:paraId="4219FA4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drawing>
          <wp:inline distT="0" distB="0" distL="114300" distR="114300">
            <wp:extent cx="5266690" cy="2830830"/>
            <wp:effectExtent l="0" t="0" r="10160" b="762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05"/>
                    <a:stretch>
                      <a:fillRect/>
                    </a:stretch>
                  </pic:blipFill>
                  <pic:spPr>
                    <a:xfrm>
                      <a:off x="0" y="0"/>
                      <a:ext cx="5266690" cy="2830830"/>
                    </a:xfrm>
                    <a:prstGeom prst="rect">
                      <a:avLst/>
                    </a:prstGeom>
                    <a:noFill/>
                    <a:ln>
                      <a:noFill/>
                    </a:ln>
                  </pic:spPr>
                </pic:pic>
              </a:graphicData>
            </a:graphic>
          </wp:inline>
        </w:drawing>
      </w:r>
    </w:p>
    <w:p w14:paraId="7B6B04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页面底部页面底部显示相关联系方式（微信号、QQ号、邮箱）、开户申请流程，及系统跳转按钮。点进开户申请流程下“申请账号”进入申请页，依照规范填写申请表，提交后等待审核，申请通过后会收到账号信息等信息反馈，具体流程如下：</w:t>
      </w:r>
    </w:p>
    <w:p w14:paraId="3D99287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drawing>
          <wp:inline distT="0" distB="0" distL="114300" distR="114300">
            <wp:extent cx="5266690" cy="2830830"/>
            <wp:effectExtent l="0" t="0" r="10160" b="762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06"/>
                    <a:stretch>
                      <a:fillRect/>
                    </a:stretch>
                  </pic:blipFill>
                  <pic:spPr>
                    <a:xfrm>
                      <a:off x="0" y="0"/>
                      <a:ext cx="5266690" cy="2830830"/>
                    </a:xfrm>
                    <a:prstGeom prst="rect">
                      <a:avLst/>
                    </a:prstGeom>
                    <a:noFill/>
                    <a:ln>
                      <a:noFill/>
                    </a:ln>
                  </pic:spPr>
                </pic:pic>
              </a:graphicData>
            </a:graphic>
          </wp:inline>
        </w:drawing>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2"/>
        <w:gridCol w:w="5740"/>
      </w:tblGrid>
      <w:tr w14:paraId="3C47A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0" w:type="dxa"/>
          </w:tcPr>
          <w:p w14:paraId="7E59237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center"/>
              <w:textAlignment w:val="auto"/>
              <w:rPr>
                <w:rFonts w:hint="eastAsia" w:ascii="宋体" w:hAnsi="宋体" w:eastAsia="宋体" w:cs="宋体"/>
                <w:b/>
                <w:bCs/>
                <w:lang w:val="en-US" w:eastAsia="zh-CN"/>
              </w:rPr>
            </w:pPr>
            <w:r>
              <w:rPr>
                <w:rFonts w:hint="eastAsia" w:ascii="宋体" w:hAnsi="宋体" w:eastAsia="宋体" w:cs="宋体"/>
                <w:b/>
                <w:bCs/>
                <w:lang w:val="en-US" w:eastAsia="zh-CN"/>
              </w:rPr>
              <w:t>列表</w:t>
            </w:r>
          </w:p>
        </w:tc>
        <w:tc>
          <w:tcPr>
            <w:tcW w:w="5759" w:type="dxa"/>
          </w:tcPr>
          <w:p w14:paraId="59CAF27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center"/>
              <w:textAlignment w:val="auto"/>
              <w:rPr>
                <w:rFonts w:hint="eastAsia" w:ascii="宋体" w:hAnsi="宋体" w:eastAsia="宋体" w:cs="宋体"/>
                <w:b/>
                <w:bCs/>
                <w:lang w:val="en-US" w:eastAsia="zh-CN"/>
              </w:rPr>
            </w:pPr>
            <w:r>
              <w:rPr>
                <w:rFonts w:hint="eastAsia" w:ascii="宋体" w:hAnsi="宋体" w:eastAsia="宋体" w:cs="宋体"/>
                <w:b/>
                <w:bCs/>
                <w:lang w:val="en-US" w:eastAsia="zh-CN"/>
              </w:rPr>
              <w:t>参数要求</w:t>
            </w:r>
          </w:p>
        </w:tc>
      </w:tr>
      <w:tr w14:paraId="66097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0" w:type="dxa"/>
          </w:tcPr>
          <w:p w14:paraId="73900F6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lang w:val="en-US" w:eastAsia="zh-CN"/>
              </w:rPr>
            </w:pPr>
            <w:r>
              <w:rPr>
                <w:rFonts w:hint="eastAsia" w:ascii="宋体" w:hAnsi="宋体" w:eastAsia="宋体" w:cs="宋体"/>
                <w:lang w:val="en-US" w:eastAsia="zh-CN"/>
              </w:rPr>
              <w:t>公司名称</w:t>
            </w:r>
          </w:p>
        </w:tc>
        <w:tc>
          <w:tcPr>
            <w:tcW w:w="5759" w:type="dxa"/>
          </w:tcPr>
          <w:p w14:paraId="7B106ED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center"/>
              <w:textAlignment w:val="auto"/>
              <w:rPr>
                <w:rFonts w:hint="eastAsia" w:ascii="宋体" w:hAnsi="宋体" w:eastAsia="宋体" w:cs="宋体"/>
                <w:lang w:val="en-US" w:eastAsia="zh-CN"/>
              </w:rPr>
            </w:pPr>
            <w:r>
              <w:rPr>
                <w:rFonts w:hint="eastAsia" w:ascii="宋体" w:hAnsi="宋体" w:eastAsia="宋体" w:cs="宋体"/>
                <w:lang w:val="en-US" w:eastAsia="zh-CN"/>
              </w:rPr>
              <w:t>字数&lt;=20字，必填</w:t>
            </w:r>
          </w:p>
        </w:tc>
      </w:tr>
      <w:tr w14:paraId="2633D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0" w:type="dxa"/>
          </w:tcPr>
          <w:p w14:paraId="3FE6554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lang w:val="en-US" w:eastAsia="zh-CN"/>
              </w:rPr>
            </w:pPr>
            <w:r>
              <w:rPr>
                <w:rFonts w:hint="eastAsia" w:ascii="宋体" w:hAnsi="宋体" w:eastAsia="宋体" w:cs="宋体"/>
                <w:lang w:val="en-US" w:eastAsia="zh-CN"/>
              </w:rPr>
              <w:t>协会登记编号</w:t>
            </w:r>
          </w:p>
        </w:tc>
        <w:tc>
          <w:tcPr>
            <w:tcW w:w="5759" w:type="dxa"/>
          </w:tcPr>
          <w:p w14:paraId="0770471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center"/>
              <w:textAlignment w:val="auto"/>
              <w:rPr>
                <w:rFonts w:hint="eastAsia" w:ascii="宋体" w:hAnsi="宋体" w:eastAsia="宋体" w:cs="宋体"/>
                <w:lang w:val="en-US" w:eastAsia="zh-CN"/>
              </w:rPr>
            </w:pPr>
            <w:r>
              <w:rPr>
                <w:rFonts w:hint="eastAsia" w:ascii="宋体" w:hAnsi="宋体" w:eastAsia="宋体" w:cs="宋体"/>
                <w:lang w:val="en-US" w:eastAsia="zh-CN"/>
              </w:rPr>
              <w:t>8位数字，必填</w:t>
            </w:r>
          </w:p>
        </w:tc>
      </w:tr>
      <w:tr w14:paraId="79FE4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0" w:type="dxa"/>
          </w:tcPr>
          <w:p w14:paraId="506EE09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lang w:val="en-US" w:eastAsia="zh-CN"/>
              </w:rPr>
            </w:pPr>
            <w:r>
              <w:rPr>
                <w:rFonts w:hint="eastAsia" w:ascii="宋体" w:hAnsi="宋体" w:eastAsia="宋体" w:cs="宋体"/>
                <w:lang w:val="en-US" w:eastAsia="zh-CN"/>
              </w:rPr>
              <w:t>姓名</w:t>
            </w:r>
          </w:p>
        </w:tc>
        <w:tc>
          <w:tcPr>
            <w:tcW w:w="5759" w:type="dxa"/>
          </w:tcPr>
          <w:p w14:paraId="73B5715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center"/>
              <w:textAlignment w:val="auto"/>
              <w:rPr>
                <w:rFonts w:hint="eastAsia" w:ascii="宋体" w:hAnsi="宋体" w:eastAsia="宋体" w:cs="宋体"/>
                <w:lang w:val="en-US" w:eastAsia="zh-CN"/>
              </w:rPr>
            </w:pPr>
            <w:r>
              <w:rPr>
                <w:rFonts w:hint="eastAsia" w:ascii="宋体" w:hAnsi="宋体" w:eastAsia="宋体" w:cs="宋体"/>
                <w:lang w:val="en-US" w:eastAsia="zh-CN"/>
              </w:rPr>
              <w:t>字数&lt;=10字，必填</w:t>
            </w:r>
          </w:p>
        </w:tc>
      </w:tr>
      <w:tr w14:paraId="5FD9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0" w:type="dxa"/>
          </w:tcPr>
          <w:p w14:paraId="2E76447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lang w:val="en-US" w:eastAsia="zh-CN"/>
              </w:rPr>
            </w:pPr>
            <w:r>
              <w:rPr>
                <w:rFonts w:hint="eastAsia" w:ascii="宋体" w:hAnsi="宋体" w:eastAsia="宋体" w:cs="宋体"/>
                <w:lang w:val="en-US" w:eastAsia="zh-CN"/>
              </w:rPr>
              <w:t>手机号</w:t>
            </w:r>
          </w:p>
        </w:tc>
        <w:tc>
          <w:tcPr>
            <w:tcW w:w="5759" w:type="dxa"/>
          </w:tcPr>
          <w:p w14:paraId="50AE78B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center"/>
              <w:textAlignment w:val="auto"/>
              <w:rPr>
                <w:rFonts w:hint="eastAsia" w:ascii="宋体" w:hAnsi="宋体" w:eastAsia="宋体" w:cs="宋体"/>
                <w:lang w:val="en-US" w:eastAsia="zh-CN"/>
              </w:rPr>
            </w:pPr>
            <w:r>
              <w:rPr>
                <w:rFonts w:hint="eastAsia" w:ascii="宋体" w:hAnsi="宋体" w:eastAsia="宋体" w:cs="宋体"/>
                <w:lang w:val="en-US" w:eastAsia="zh-CN"/>
              </w:rPr>
              <w:t>11位数字，必填</w:t>
            </w:r>
          </w:p>
        </w:tc>
      </w:tr>
    </w:tbl>
    <w:p w14:paraId="68E44C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同时，页面底部有“点击进入”按钮，点击按钮会跳转至私募一体化系统登录页，页面如下：</w:t>
      </w:r>
    </w:p>
    <w:p w14:paraId="20B656D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rPr>
        <w:drawing>
          <wp:inline distT="0" distB="0" distL="114300" distR="114300">
            <wp:extent cx="5132070" cy="2627630"/>
            <wp:effectExtent l="0" t="0" r="635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7"/>
                    <a:stretch>
                      <a:fillRect/>
                    </a:stretch>
                  </pic:blipFill>
                  <pic:spPr>
                    <a:xfrm>
                      <a:off x="0" y="0"/>
                      <a:ext cx="5132070" cy="2627630"/>
                    </a:xfrm>
                    <a:prstGeom prst="rect">
                      <a:avLst/>
                    </a:prstGeom>
                    <a:noFill/>
                    <a:ln>
                      <a:noFill/>
                    </a:ln>
                  </pic:spPr>
                </pic:pic>
              </a:graphicData>
            </a:graphic>
          </wp:inline>
        </w:drawing>
      </w:r>
    </w:p>
    <w:p w14:paraId="5F12FF66">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28"/>
          <w:szCs w:val="28"/>
          <w:lang w:val="en-US" w:eastAsia="zh-CN"/>
        </w:rPr>
      </w:pPr>
      <w:bookmarkStart w:id="38" w:name="_Toc18069"/>
      <w:r>
        <w:rPr>
          <w:rFonts w:hint="eastAsia" w:ascii="宋体" w:hAnsi="宋体" w:eastAsia="宋体" w:cs="宋体"/>
          <w:sz w:val="28"/>
          <w:szCs w:val="28"/>
          <w:lang w:val="en-US" w:eastAsia="zh-CN"/>
        </w:rPr>
        <mc:AlternateContent>
          <mc:Choice Requires="wps">
            <w:drawing>
              <wp:anchor distT="0" distB="0" distL="114300" distR="114300" simplePos="0" relativeHeight="251692032" behindDoc="1" locked="0" layoutInCell="1" allowOverlap="1">
                <wp:simplePos x="0" y="0"/>
                <wp:positionH relativeFrom="page">
                  <wp:posOffset>1187450</wp:posOffset>
                </wp:positionH>
                <wp:positionV relativeFrom="page">
                  <wp:posOffset>4915535</wp:posOffset>
                </wp:positionV>
                <wp:extent cx="6350" cy="6350"/>
                <wp:effectExtent l="0" t="0" r="0" b="0"/>
                <wp:wrapNone/>
                <wp:docPr id="569" name="Freeform 569"/>
                <wp:cNvGraphicFramePr/>
                <a:graphic xmlns:a="http://schemas.openxmlformats.org/drawingml/2006/main">
                  <a:graphicData uri="http://schemas.microsoft.com/office/word/2010/wordprocessingShape">
                    <wps:wsp>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569" o:spid="_x0000_s1026" o:spt="100" style="position:absolute;left:0pt;margin-left:93.5pt;margin-top:387.05pt;height:0.5pt;width:0.5pt;mso-position-horizontal-relative:page;mso-position-vertical-relative:page;z-index:-251624448;mso-width-relative:page;mso-height-relative:page;" fillcolor="#000000" filled="t" stroked="f" coordsize="6096,6097" o:gfxdata="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&#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KEEH12AAAAAsBAAAPAAAAAAAAAAEAIAAAACIAAABk&#10;cnMvZG93bnJldi54bWxQSwECFAAUAAAACACHTuJAngXdND8CAAAQBQAADgAAAAAAAAABACAAAAAn&#10;AQAAZHJzL2Uyb0RvYy54bWxQSwUGAAAAAAYABgBZAQAA2AUAAAAA&#10;" path="m0,6097l6096,6097,6096,0,0,0,0,6097xe">
                <v:fill on="t" focussize="0,0"/>
                <v:stroke on="f" weight="1pt" miterlimit="8" joinstyle="miter"/>
                <v:imagedata o:title=""/>
                <o:lock v:ext="edit" aspectratio="f"/>
              </v:shape>
            </w:pict>
          </mc:Fallback>
        </mc:AlternateContent>
      </w:r>
      <w:r>
        <w:rPr>
          <w:rFonts w:hint="eastAsia" w:ascii="宋体" w:hAnsi="宋体" w:eastAsia="宋体" w:cs="宋体"/>
          <w:sz w:val="28"/>
          <w:szCs w:val="28"/>
          <w:lang w:val="en-US" w:eastAsia="zh-CN"/>
        </w:rPr>
        <mc:AlternateContent>
          <mc:Choice Requires="wps">
            <w:drawing>
              <wp:anchor distT="0" distB="0" distL="114300" distR="114300" simplePos="0" relativeHeight="251691008" behindDoc="1" locked="0" layoutInCell="1" allowOverlap="1">
                <wp:simplePos x="0" y="0"/>
                <wp:positionH relativeFrom="page">
                  <wp:posOffset>1187450</wp:posOffset>
                </wp:positionH>
                <wp:positionV relativeFrom="page">
                  <wp:posOffset>4915535</wp:posOffset>
                </wp:positionV>
                <wp:extent cx="6350" cy="6350"/>
                <wp:effectExtent l="0" t="0" r="0" b="0"/>
                <wp:wrapNone/>
                <wp:docPr id="570" name="Freeform 570"/>
                <wp:cNvGraphicFramePr/>
                <a:graphic xmlns:a="http://schemas.openxmlformats.org/drawingml/2006/main">
                  <a:graphicData uri="http://schemas.microsoft.com/office/word/2010/wordprocessingShape">
                    <wps:wsp>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570" o:spid="_x0000_s1026" o:spt="100" style="position:absolute;left:0pt;margin-left:93.5pt;margin-top:387.05pt;height:0.5pt;width:0.5pt;mso-position-horizontal-relative:page;mso-position-vertical-relative:page;z-index:-251625472;mso-width-relative:page;mso-height-relative:page;" fillcolor="#000000" filled="t" stroked="f" coordsize="6096,6097" o:gfxdata="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&#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oQQfXYAAAACwEAAA8AAAAAAAAAAQAgAAAAIgAAAGRy&#10;cy9kb3ducmV2LnhtbFBLAQIUABQAAAAIAIdO4kCvbM5lPgIAABAFAAAOAAAAAAAAAAEAIAAAACcB&#10;AABkcnMvZTJvRG9jLnhtbFBLBQYAAAAABgAGAFkBAADXBQAAAAA=&#10;" path="m0,6097l6096,6097,6096,0,0,0,0,6097xe">
                <v:fill on="t" focussize="0,0"/>
                <v:stroke on="f" weight="1pt" miterlimit="8" joinstyle="miter"/>
                <v:imagedata o:title=""/>
                <o:lock v:ext="edit" aspectratio="f"/>
              </v:shape>
            </w:pict>
          </mc:Fallback>
        </mc:AlternateContent>
      </w:r>
      <w:r>
        <w:rPr>
          <w:rFonts w:hint="eastAsia" w:ascii="宋体" w:hAnsi="宋体" w:eastAsia="宋体" w:cs="宋体"/>
          <w:sz w:val="28"/>
          <w:szCs w:val="28"/>
          <w:lang w:val="en-US" w:eastAsia="zh-CN"/>
        </w:rPr>
        <mc:AlternateContent>
          <mc:Choice Requires="wps">
            <w:drawing>
              <wp:anchor distT="0" distB="0" distL="114300" distR="114300" simplePos="0" relativeHeight="251693056" behindDoc="1" locked="0" layoutInCell="1" allowOverlap="1">
                <wp:simplePos x="0" y="0"/>
                <wp:positionH relativeFrom="page">
                  <wp:posOffset>1905000</wp:posOffset>
                </wp:positionH>
                <wp:positionV relativeFrom="page">
                  <wp:posOffset>4915535</wp:posOffset>
                </wp:positionV>
                <wp:extent cx="6350" cy="6350"/>
                <wp:effectExtent l="0" t="0" r="0" b="0"/>
                <wp:wrapNone/>
                <wp:docPr id="571" name="Freeform 571"/>
                <wp:cNvGraphicFramePr/>
                <a:graphic xmlns:a="http://schemas.openxmlformats.org/drawingml/2006/main">
                  <a:graphicData uri="http://schemas.microsoft.com/office/word/2010/wordprocessingShape">
                    <wps:wsp>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571" o:spid="_x0000_s1026" o:spt="100" style="position:absolute;left:0pt;margin-left:150pt;margin-top:387.05pt;height:0.5pt;width:0.5pt;mso-position-horizontal-relative:page;mso-position-vertical-relative:page;z-index:-251623424;mso-width-relative:page;mso-height-relative:page;" fillcolor="#000000" filled="t" stroked="f" coordsize="6096,6097" o:gfxdata="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80CK9kAAAALAQAADwAAAAAAAAABACAAAAAiAAAA&#10;ZHJzL2Rvd25yZXYueG1sUEsBAhQAFAAAAAgAh07iQBudqkg/AgAAEAUAAA4AAAAAAAAAAQAgAAAA&#10;KAEAAGRycy9lMm9Eb2MueG1sUEsFBgAAAAAGAAYAWQEAANkFAAAAAA==&#10;" path="m0,6097l6096,6097,6096,0,0,0,0,6097xe">
                <v:fill on="t" focussize="0,0"/>
                <v:stroke on="f" weight="1pt" miterlimit="8" joinstyle="miter"/>
                <v:imagedata o:title=""/>
                <o:lock v:ext="edit" aspectratio="f"/>
              </v:shape>
            </w:pict>
          </mc:Fallback>
        </mc:AlternateContent>
      </w:r>
      <w:r>
        <w:rPr>
          <w:rFonts w:hint="eastAsia" w:ascii="宋体" w:hAnsi="宋体" w:eastAsia="宋体" w:cs="宋体"/>
          <w:sz w:val="28"/>
          <w:szCs w:val="28"/>
          <w:lang w:val="en-US" w:eastAsia="zh-CN"/>
        </w:rPr>
        <mc:AlternateContent>
          <mc:Choice Requires="wps">
            <w:drawing>
              <wp:anchor distT="0" distB="0" distL="114300" distR="114300" simplePos="0" relativeHeight="251695104" behindDoc="0" locked="0" layoutInCell="1" allowOverlap="1">
                <wp:simplePos x="0" y="0"/>
                <wp:positionH relativeFrom="page">
                  <wp:posOffset>6367145</wp:posOffset>
                </wp:positionH>
                <wp:positionV relativeFrom="page">
                  <wp:posOffset>4915535</wp:posOffset>
                </wp:positionV>
                <wp:extent cx="6350" cy="6350"/>
                <wp:effectExtent l="0" t="0" r="0" b="0"/>
                <wp:wrapNone/>
                <wp:docPr id="572" name="Freeform 572"/>
                <wp:cNvGraphicFramePr/>
                <a:graphic xmlns:a="http://schemas.openxmlformats.org/drawingml/2006/main">
                  <a:graphicData uri="http://schemas.microsoft.com/office/word/2010/wordprocessingShape">
                    <wps:wsp>
                      <wps:cNvSpPr/>
                      <wps:spPr>
                        <a:xfrm>
                          <a:off x="0" y="0"/>
                          <a:ext cx="6350" cy="6350"/>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572" o:spid="_x0000_s1026" o:spt="100" style="position:absolute;left:0pt;margin-left:501.35pt;margin-top:387.05pt;height:0.5pt;width:0.5pt;mso-position-horizontal-relative:page;mso-position-vertical-relative:page;z-index:251695104;mso-width-relative:page;mso-height-relative:page;" fillcolor="#000000" filled="t" stroked="f" coordsize="6097,6097" o:gfxdata="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zGfxDYAAAADQEAAA8AAAAAAAAAAQAgAAAAIgAAAGRy&#10;cy9kb3ducmV2LnhtbFBLAQIUABQAAAAIAIdO4kB8YvdfPgIAABAFAAAOAAAAAAAAAAEAIAAAACcB&#10;AABkcnMvZTJvRG9jLnhtbFBLBQYAAAAABgAGAFkBAADXBQAAAAA=&#10;" path="m0,6097l6097,6097,6097,0,0,0,0,6097xe">
                <v:fill on="t" focussize="0,0"/>
                <v:stroke on="f" weight="1pt" miterlimit="8" joinstyle="miter"/>
                <v:imagedata o:title=""/>
                <o:lock v:ext="edit" aspectratio="f"/>
              </v:shape>
            </w:pict>
          </mc:Fallback>
        </mc:AlternateContent>
      </w:r>
      <w:r>
        <w:rPr>
          <w:rFonts w:hint="eastAsia" w:ascii="宋体" w:hAnsi="宋体" w:eastAsia="宋体" w:cs="宋体"/>
          <w:sz w:val="28"/>
          <w:szCs w:val="28"/>
          <w:lang w:val="en-US" w:eastAsia="zh-CN"/>
        </w:rPr>
        <mc:AlternateContent>
          <mc:Choice Requires="wps">
            <w:drawing>
              <wp:anchor distT="0" distB="0" distL="114300" distR="114300" simplePos="0" relativeHeight="251694080" behindDoc="0" locked="0" layoutInCell="1" allowOverlap="1">
                <wp:simplePos x="0" y="0"/>
                <wp:positionH relativeFrom="page">
                  <wp:posOffset>6367145</wp:posOffset>
                </wp:positionH>
                <wp:positionV relativeFrom="page">
                  <wp:posOffset>4915535</wp:posOffset>
                </wp:positionV>
                <wp:extent cx="6350" cy="6350"/>
                <wp:effectExtent l="0" t="0" r="0" b="0"/>
                <wp:wrapNone/>
                <wp:docPr id="573" name="Freeform 573"/>
                <wp:cNvGraphicFramePr/>
                <a:graphic xmlns:a="http://schemas.openxmlformats.org/drawingml/2006/main">
                  <a:graphicData uri="http://schemas.microsoft.com/office/word/2010/wordprocessingShape">
                    <wps:wsp>
                      <wps:cNvSpPr/>
                      <wps:spPr>
                        <a:xfrm>
                          <a:off x="0" y="0"/>
                          <a:ext cx="6350" cy="6350"/>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573" o:spid="_x0000_s1026" o:spt="100" style="position:absolute;left:0pt;margin-left:501.35pt;margin-top:387.05pt;height:0.5pt;width:0.5pt;mso-position-horizontal-relative:page;mso-position-vertical-relative:page;z-index:251694080;mso-width-relative:page;mso-height-relative:page;" fillcolor="#000000" filled="t" stroked="f" coordsize="6097,6097" o:gfxdata="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MZ/ENgAAAANAQAADwAAAAAAAAABACAAAAAiAAAAZHJz&#10;L2Rvd25yZXYueG1sUEsBAhQAFAAAAAgAh07iQMiTk3I9AgAAEAUAAA4AAAAAAAAAAQAgAAAAJwEA&#10;AGRycy9lMm9Eb2MueG1sUEsFBgAAAAAGAAYAWQEAANYFAAAAAA==&#10;" path="m0,6097l6097,6097,6097,0,0,0,0,6097xe">
                <v:fill on="t" focussize="0,0"/>
                <v:stroke on="f" weight="1pt" miterlimit="8" joinstyle="miter"/>
                <v:imagedata o:title=""/>
                <o:lock v:ext="edit" aspectratio="f"/>
              </v:shape>
            </w:pict>
          </mc:Fallback>
        </mc:AlternateContent>
      </w:r>
      <w:r>
        <w:rPr>
          <w:rFonts w:hint="eastAsia" w:ascii="宋体" w:hAnsi="宋体" w:eastAsia="宋体" w:cs="宋体"/>
          <w:sz w:val="28"/>
          <w:szCs w:val="28"/>
          <w:lang w:val="en-US" w:eastAsia="zh-CN"/>
        </w:rPr>
        <w:t>量化</w:t>
      </w:r>
      <w:bookmarkEnd w:id="38"/>
      <w:r>
        <w:rPr>
          <w:rFonts w:hint="eastAsia" w:ascii="宋体" w:hAnsi="宋体" w:eastAsia="宋体" w:cs="宋体"/>
          <w:sz w:val="28"/>
          <w:szCs w:val="28"/>
          <w:lang w:val="en-US" w:eastAsia="zh-CN"/>
        </w:rPr>
        <w:t>投研平台</w:t>
      </w:r>
    </w:p>
    <w:p w14:paraId="4BCF8C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量化投研平台功能界面展示相关产品介绍和申请使用按钮。</w:t>
      </w:r>
    </w:p>
    <w:p w14:paraId="5436F3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点击MATIC客户端上方特色服务-量化投研平台菜单可进入量化投研平台介绍界面，页面底部显示相关联系方式（微信号、QQ号、邮箱）、申请使用流程，及申请使用按钮。如图：</w:t>
      </w:r>
    </w:p>
    <w:p w14:paraId="5A1813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lang w:val="en-US" w:eastAsia="zh-CN"/>
        </w:rPr>
      </w:pPr>
      <w:r>
        <w:drawing>
          <wp:inline distT="0" distB="0" distL="114300" distR="114300">
            <wp:extent cx="5266690" cy="2830830"/>
            <wp:effectExtent l="0" t="0" r="10160" b="762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08"/>
                    <a:stretch>
                      <a:fillRect/>
                    </a:stretch>
                  </pic:blipFill>
                  <pic:spPr>
                    <a:xfrm>
                      <a:off x="0" y="0"/>
                      <a:ext cx="5266690" cy="2830830"/>
                    </a:xfrm>
                    <a:prstGeom prst="rect">
                      <a:avLst/>
                    </a:prstGeom>
                    <a:noFill/>
                    <a:ln>
                      <a:noFill/>
                    </a:ln>
                  </pic:spPr>
                </pic:pic>
              </a:graphicData>
            </a:graphic>
          </wp:inline>
        </w:drawing>
      </w:r>
    </w:p>
    <w:p w14:paraId="7A0B38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页面底部可申请使用，点进申请流程下“申请使用”进入申请页，依照规范填写申请表，提交成功后有提示语提示“耐心等待”。每位客户最多填写10次，如超过次数弹框提示申请次数超过限制，具体流程如下：</w:t>
      </w:r>
    </w:p>
    <w:p w14:paraId="205923FF">
      <w:pPr>
        <w:keepNext w:val="0"/>
        <w:keepLines w:val="0"/>
        <w:pageBreakBefore w:val="0"/>
        <w:widowControl w:val="0"/>
        <w:kinsoku/>
        <w:wordWrap/>
        <w:overflowPunct/>
        <w:topLinePunct w:val="0"/>
        <w:autoSpaceDE/>
        <w:autoSpaceDN/>
        <w:bidi w:val="0"/>
        <w:adjustRightInd/>
        <w:snapToGrid/>
        <w:spacing w:line="360" w:lineRule="auto"/>
        <w:ind w:right="840" w:rightChars="400"/>
        <w:textAlignment w:val="auto"/>
        <w:rPr>
          <w:rFonts w:hint="eastAsia" w:ascii="宋体" w:hAnsi="宋体" w:eastAsia="宋体" w:cs="宋体"/>
        </w:rPr>
      </w:pPr>
      <w:r>
        <w:drawing>
          <wp:inline distT="0" distB="0" distL="114300" distR="114300">
            <wp:extent cx="5266690" cy="2830830"/>
            <wp:effectExtent l="0" t="0" r="10160" b="762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09"/>
                    <a:stretch>
                      <a:fillRect/>
                    </a:stretch>
                  </pic:blipFill>
                  <pic:spPr>
                    <a:xfrm>
                      <a:off x="0" y="0"/>
                      <a:ext cx="5266690" cy="2830830"/>
                    </a:xfrm>
                    <a:prstGeom prst="rect">
                      <a:avLst/>
                    </a:prstGeom>
                    <a:noFill/>
                    <a:ln>
                      <a:noFill/>
                    </a:ln>
                  </pic:spPr>
                </pic:pic>
              </a:graphicData>
            </a:graphic>
          </wp:inline>
        </w:drawing>
      </w:r>
    </w:p>
    <w:p w14:paraId="056248D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lang w:val="en-US" w:eastAsia="zh-CN"/>
        </w:rPr>
      </w:pPr>
      <w:r>
        <w:rPr>
          <w:rFonts w:hint="eastAsia" w:ascii="宋体" w:hAnsi="宋体" w:eastAsia="宋体" w:cs="宋体"/>
          <w:b w:val="0"/>
          <w:bCs w:val="0"/>
          <w:color w:val="auto"/>
          <w:sz w:val="24"/>
          <w:szCs w:val="24"/>
          <w:lang w:val="en-US" w:eastAsia="zh-CN"/>
        </w:rPr>
        <w:drawing>
          <wp:inline distT="0" distB="0" distL="114300" distR="114300">
            <wp:extent cx="2439670" cy="2599690"/>
            <wp:effectExtent l="0" t="0" r="0" b="0"/>
            <wp:docPr id="17" name="图片 17" descr="页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页面 1"/>
                    <pic:cNvPicPr>
                      <a:picLocks noChangeAspect="1"/>
                    </pic:cNvPicPr>
                  </pic:nvPicPr>
                  <pic:blipFill>
                    <a:blip r:embed="rId110"/>
                    <a:srcRect l="11153" t="2319" r="52249" b="40004"/>
                    <a:stretch>
                      <a:fillRect/>
                    </a:stretch>
                  </pic:blipFill>
                  <pic:spPr>
                    <a:xfrm>
                      <a:off x="0" y="0"/>
                      <a:ext cx="2439670" cy="2599690"/>
                    </a:xfrm>
                    <a:prstGeom prst="rect">
                      <a:avLst/>
                    </a:prstGeom>
                  </pic:spPr>
                </pic:pic>
              </a:graphicData>
            </a:graphic>
          </wp:inline>
        </w:drawing>
      </w:r>
    </w:p>
    <w:p w14:paraId="6574AA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36"/>
          <w:szCs w:val="36"/>
          <w:lang w:val="en-US" w:eastAsia="zh-CN"/>
        </w:rPr>
      </w:pPr>
      <w:r>
        <w:rPr>
          <w:rFonts w:hint="eastAsia" w:ascii="宋体" w:hAnsi="宋体" w:eastAsia="宋体" w:cs="宋体"/>
          <w:lang w:val="en-US" w:eastAsia="zh-CN"/>
        </w:rPr>
        <w:t>同时，页面底部有“申请使用”按钮，点击按钮同样弹出以上申请表。</w:t>
      </w:r>
    </w:p>
    <w:p w14:paraId="13A61BBE">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28"/>
          <w:szCs w:val="28"/>
          <w:lang w:val="en-US" w:eastAsia="zh-CN"/>
        </w:rPr>
      </w:pPr>
      <w:bookmarkStart w:id="39" w:name="_Toc27751"/>
      <w:r>
        <w:rPr>
          <w:rFonts w:hint="eastAsia" w:ascii="宋体" w:hAnsi="宋体" w:eastAsia="宋体" w:cs="宋体"/>
          <w:sz w:val="28"/>
          <w:szCs w:val="28"/>
          <w:lang w:val="en-US" w:eastAsia="zh-CN"/>
        </w:rPr>
        <w:t>低延时实验室</w:t>
      </w:r>
      <w:bookmarkEnd w:id="39"/>
    </w:p>
    <w:p w14:paraId="1D7FDB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低延时实验室功能界面展示相关产品介绍、线路图及合作生态。</w:t>
      </w:r>
    </w:p>
    <w:p w14:paraId="2FE8E3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点击MATIC客户端上方特色服务-低延时实验室菜单可进入低延时实验室介绍界面，页面底部显示相关联系方式（微信号、QQ号、邮箱）。如图：</w:t>
      </w:r>
    </w:p>
    <w:p w14:paraId="4FCECD82">
      <w:pPr>
        <w:rPr>
          <w:rFonts w:hint="eastAsia" w:ascii="宋体" w:hAnsi="宋体" w:eastAsia="宋体" w:cs="宋体"/>
        </w:rPr>
      </w:pPr>
      <w:r>
        <w:drawing>
          <wp:inline distT="0" distB="0" distL="114300" distR="114300">
            <wp:extent cx="5266690" cy="2830830"/>
            <wp:effectExtent l="0" t="0" r="10160" b="762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11"/>
                    <a:stretch>
                      <a:fillRect/>
                    </a:stretch>
                  </pic:blipFill>
                  <pic:spPr>
                    <a:xfrm>
                      <a:off x="0" y="0"/>
                      <a:ext cx="5266690" cy="2830830"/>
                    </a:xfrm>
                    <a:prstGeom prst="rect">
                      <a:avLst/>
                    </a:prstGeom>
                    <a:noFill/>
                    <a:ln>
                      <a:noFill/>
                    </a:ln>
                  </pic:spPr>
                </pic:pic>
              </a:graphicData>
            </a:graphic>
          </wp:inline>
        </w:drawing>
      </w:r>
    </w:p>
    <w:p w14:paraId="18691B53">
      <w:pPr>
        <w:pStyle w:val="2"/>
        <w:keepNext/>
        <w:keepLines/>
        <w:pageBreakBefore w:val="0"/>
        <w:widowControl w:val="0"/>
        <w:numPr>
          <w:ilvl w:val="0"/>
          <w:numId w:val="2"/>
        </w:numPr>
        <w:kinsoku/>
        <w:wordWrap/>
        <w:overflowPunct/>
        <w:topLinePunct w:val="0"/>
        <w:autoSpaceDE/>
        <w:autoSpaceDN/>
        <w:bidi w:val="0"/>
        <w:adjustRightInd/>
        <w:snapToGrid/>
        <w:spacing w:before="240" w:after="240" w:line="240" w:lineRule="auto"/>
        <w:ind w:left="425" w:leftChars="0" w:hanging="425" w:firstLineChars="0"/>
        <w:textAlignment w:val="auto"/>
        <w:rPr>
          <w:rFonts w:hint="eastAsia" w:ascii="宋体" w:hAnsi="宋体" w:eastAsia="宋体" w:cs="宋体"/>
          <w:b/>
          <w:bCs w:val="0"/>
          <w:sz w:val="30"/>
          <w:szCs w:val="30"/>
          <w:lang w:val="en-US" w:eastAsia="zh-CN"/>
        </w:rPr>
      </w:pPr>
      <w:bookmarkStart w:id="40" w:name="_Toc1090"/>
      <w:bookmarkStart w:id="41" w:name="_Toc25263"/>
      <w:bookmarkStart w:id="42" w:name="_Toc26559"/>
      <w:r>
        <w:rPr>
          <w:rFonts w:hint="eastAsia" w:ascii="宋体" w:hAnsi="宋体" w:eastAsia="宋体" w:cs="宋体"/>
          <w:b/>
          <w:bCs w:val="0"/>
          <w:sz w:val="30"/>
          <w:szCs w:val="30"/>
          <w:lang w:val="en-US" w:eastAsia="zh-CN"/>
        </w:rPr>
        <w:t>系统</w:t>
      </w:r>
      <w:bookmarkEnd w:id="40"/>
      <w:bookmarkEnd w:id="41"/>
      <w:bookmarkEnd w:id="42"/>
    </w:p>
    <w:p w14:paraId="3AFA03E6">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b/>
          <w:bCs w:val="0"/>
          <w:sz w:val="28"/>
          <w:szCs w:val="28"/>
          <w:lang w:val="en-US" w:eastAsia="zh-CN"/>
        </w:rPr>
      </w:pPr>
      <w:bookmarkStart w:id="43" w:name="_Toc19857"/>
      <w:r>
        <w:rPr>
          <w:rFonts w:hint="eastAsia" w:ascii="宋体" w:hAnsi="宋体" w:eastAsia="宋体" w:cs="宋体"/>
          <w:b/>
          <w:bCs w:val="0"/>
          <w:sz w:val="28"/>
          <w:szCs w:val="28"/>
          <w:lang w:val="en-US" w:eastAsia="zh-CN"/>
        </w:rPr>
        <w:t>资金账号</w:t>
      </w:r>
      <w:bookmarkEnd w:id="43"/>
    </w:p>
    <w:p w14:paraId="468F79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资金账户</w:t>
      </w:r>
      <w:r>
        <w:rPr>
          <w:rFonts w:hint="eastAsia" w:ascii="宋体" w:hAnsi="宋体" w:eastAsia="宋体" w:cs="宋体"/>
          <w:color w:val="auto"/>
          <w:kern w:val="2"/>
          <w:sz w:val="21"/>
          <w:szCs w:val="21"/>
          <w:vertAlign w:val="baseline"/>
          <w:lang w:val="en-US" w:eastAsia="zh-CN" w:bidi="ar-SA"/>
        </w:rPr>
        <w:t>功能仅对个人客户开放，</w:t>
      </w:r>
      <w:r>
        <w:rPr>
          <w:rFonts w:hint="eastAsia" w:ascii="宋体" w:hAnsi="宋体" w:eastAsia="宋体" w:cs="宋体"/>
          <w:sz w:val="21"/>
          <w:szCs w:val="21"/>
          <w:lang w:val="en-US" w:eastAsia="zh-CN"/>
        </w:rPr>
        <w:t>主要支持的功能如下：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7367"/>
      </w:tblGrid>
      <w:tr w14:paraId="17FBF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dxa"/>
          </w:tcPr>
          <w:p w14:paraId="167A35C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功能</w:t>
            </w:r>
          </w:p>
        </w:tc>
        <w:tc>
          <w:tcPr>
            <w:tcW w:w="7367" w:type="dxa"/>
          </w:tcPr>
          <w:p w14:paraId="75F83CE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功能描述</w:t>
            </w:r>
          </w:p>
        </w:tc>
      </w:tr>
      <w:tr w14:paraId="11EDF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dxa"/>
          </w:tcPr>
          <w:p w14:paraId="627BDEE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我要开户</w:t>
            </w:r>
          </w:p>
        </w:tc>
        <w:tc>
          <w:tcPr>
            <w:tcW w:w="7367" w:type="dxa"/>
          </w:tcPr>
          <w:p w14:paraId="40842FA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点击“系统-资金账户-我要开户”链接至华泰期货有限公司互联网开户平台。</w:t>
            </w:r>
          </w:p>
        </w:tc>
      </w:tr>
      <w:tr w14:paraId="4E844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dxa"/>
          </w:tcPr>
          <w:p w14:paraId="766A285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账户管理</w:t>
            </w:r>
          </w:p>
        </w:tc>
        <w:tc>
          <w:tcPr>
            <w:tcW w:w="7367" w:type="dxa"/>
          </w:tcPr>
          <w:p w14:paraId="571EB91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点击“系统-资金账户-账户管理”弹出资金账户管理界面，可进行资金账户绑定和解绑操作。</w:t>
            </w:r>
          </w:p>
        </w:tc>
      </w:tr>
    </w:tbl>
    <w:p w14:paraId="1D58A13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lang w:val="en-US" w:eastAsia="zh-CN"/>
        </w:rPr>
      </w:pPr>
    </w:p>
    <w:p w14:paraId="5284EB57">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44" w:name="_Toc21739"/>
      <w:r>
        <w:rPr>
          <w:rFonts w:hint="eastAsia" w:ascii="宋体" w:hAnsi="宋体" w:eastAsia="宋体" w:cs="宋体"/>
          <w:sz w:val="28"/>
          <w:szCs w:val="28"/>
          <w:lang w:val="en-US" w:eastAsia="zh-CN"/>
        </w:rPr>
        <w:t>我要开户</w:t>
      </w:r>
      <w:bookmarkEnd w:id="44"/>
    </w:p>
    <w:p w14:paraId="7B01BE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我要开户”页面展示了华泰期货有限公司互联网开户平台的开户流程及路径，开户路径目前主要推荐扫码开户，可通过手机扫一扫打开华泰期货开户预约页面，在页面内填写手机号码，获取并填写验证码后，点击预约专人指导，专属服务人员将致电教您开户。</w:t>
      </w:r>
    </w:p>
    <w:p w14:paraId="22A0BA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lang w:val="en-US" w:eastAsia="zh-CN"/>
        </w:rPr>
      </w:pPr>
      <w:r>
        <w:rPr>
          <w:rFonts w:hint="eastAsia" w:ascii="宋体" w:hAnsi="宋体" w:eastAsia="宋体" w:cs="宋体"/>
          <w:lang w:val="en-US" w:eastAsia="zh-CN"/>
        </w:rPr>
        <w:t>提示：开户时间为：8：40-17：45（交易日），请在此时间段内操作。</w:t>
      </w:r>
    </w:p>
    <w:p w14:paraId="3B6FD0A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lang w:val="en-US" w:eastAsia="zh-CN"/>
        </w:rPr>
      </w:pPr>
      <w:r>
        <w:drawing>
          <wp:inline distT="0" distB="0" distL="114300" distR="114300">
            <wp:extent cx="5394960" cy="2900045"/>
            <wp:effectExtent l="0" t="0" r="15240" b="1460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12"/>
                    <a:stretch>
                      <a:fillRect/>
                    </a:stretch>
                  </pic:blipFill>
                  <pic:spPr>
                    <a:xfrm>
                      <a:off x="0" y="0"/>
                      <a:ext cx="5394960" cy="2900045"/>
                    </a:xfrm>
                    <a:prstGeom prst="rect">
                      <a:avLst/>
                    </a:prstGeom>
                    <a:noFill/>
                    <a:ln>
                      <a:noFill/>
                    </a:ln>
                  </pic:spPr>
                </pic:pic>
              </a:graphicData>
            </a:graphic>
          </wp:inline>
        </w:drawing>
      </w:r>
    </w:p>
    <w:p w14:paraId="55F5508F">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45" w:name="_Toc4939"/>
      <w:r>
        <w:rPr>
          <w:rFonts w:hint="eastAsia" w:ascii="宋体" w:hAnsi="宋体" w:eastAsia="宋体" w:cs="宋体"/>
          <w:sz w:val="28"/>
          <w:szCs w:val="28"/>
          <w:lang w:val="en-US" w:eastAsia="zh-CN"/>
        </w:rPr>
        <w:t>账户管理</w:t>
      </w:r>
      <w:bookmarkEnd w:id="45"/>
    </w:p>
    <w:p w14:paraId="6AB2C6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kern w:val="2"/>
          <w:sz w:val="21"/>
          <w:szCs w:val="21"/>
          <w:vertAlign w:val="baseline"/>
          <w:lang w:val="en-US" w:eastAsia="zh-CN" w:bidi="ar-SA"/>
        </w:rPr>
        <w:t>点击账户管理，打开“资金账户管理”页面，页面内容如下</w:t>
      </w:r>
      <w:r>
        <w:rPr>
          <w:rFonts w:hint="eastAsia" w:ascii="宋体" w:hAnsi="宋体" w:eastAsia="宋体" w:cs="宋体"/>
          <w:color w:val="auto"/>
          <w:sz w:val="21"/>
          <w:szCs w:val="21"/>
          <w:lang w:val="en-US" w:eastAsia="zh-CN"/>
        </w:rPr>
        <w:t>：</w:t>
      </w:r>
    </w:p>
    <w:p w14:paraId="0638F24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r>
        <w:drawing>
          <wp:inline distT="0" distB="0" distL="114300" distR="114300">
            <wp:extent cx="2635885" cy="1979295"/>
            <wp:effectExtent l="0" t="0" r="12065" b="190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113"/>
                    <a:stretch>
                      <a:fillRect/>
                    </a:stretch>
                  </pic:blipFill>
                  <pic:spPr>
                    <a:xfrm>
                      <a:off x="0" y="0"/>
                      <a:ext cx="2635885" cy="1979295"/>
                    </a:xfrm>
                    <a:prstGeom prst="rect">
                      <a:avLst/>
                    </a:prstGeom>
                    <a:noFill/>
                    <a:ln>
                      <a:noFill/>
                    </a:ln>
                  </pic:spPr>
                </pic:pic>
              </a:graphicData>
            </a:graphic>
          </wp:inline>
        </w:drawing>
      </w:r>
    </w:p>
    <w:p w14:paraId="2624C4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点击新增绑定，选择市场类型（单选），填写资金账户和密码，点击绑定按钮，通过匹配性校验后，即绑定成功，否则绑定不成功。绑定成功后，在已绑定账户列表新增一条资金账号信息。</w:t>
      </w:r>
    </w:p>
    <w:p w14:paraId="3C8590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注意：新增绑定可操作时间为每天8：40-16：30和20：40-次日2：00，请在此时间段内操作。新增绑定后，重新登录客户端正式生效。同一市场类型仅支持绑定一个资金账户。</w:t>
      </w:r>
    </w:p>
    <w:p w14:paraId="2571C08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1"/>
          <w:szCs w:val="21"/>
          <w:vertAlign w:val="baseline"/>
          <w:lang w:val="en-US" w:eastAsia="zh-CN" w:bidi="ar-SA"/>
        </w:rPr>
      </w:pPr>
      <w:r>
        <w:drawing>
          <wp:inline distT="0" distB="0" distL="114300" distR="114300">
            <wp:extent cx="2647950" cy="1988185"/>
            <wp:effectExtent l="0" t="0" r="0" b="12065"/>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14"/>
                    <a:stretch>
                      <a:fillRect/>
                    </a:stretch>
                  </pic:blipFill>
                  <pic:spPr>
                    <a:xfrm>
                      <a:off x="0" y="0"/>
                      <a:ext cx="2647950" cy="1988185"/>
                    </a:xfrm>
                    <a:prstGeom prst="rect">
                      <a:avLst/>
                    </a:prstGeom>
                    <a:noFill/>
                    <a:ln>
                      <a:noFill/>
                    </a:ln>
                  </pic:spPr>
                </pic:pic>
              </a:graphicData>
            </a:graphic>
          </wp:inline>
        </w:drawing>
      </w:r>
    </w:p>
    <w:p w14:paraId="2367AD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对于已绑定账户，点击列表操作栏中解绑按钮，弹出确认解绑的弹框提示，点击确认可操作解绑资金账户，注意：解绑可操作时间为每天15：30-20：00，请在此时间段内操作。解绑后，重新登录客户端正式生效。</w:t>
      </w:r>
    </w:p>
    <w:p w14:paraId="7EAF30D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30"/>
          <w:szCs w:val="30"/>
          <w:lang w:val="en-US" w:eastAsia="zh-CN"/>
        </w:rPr>
      </w:pPr>
      <w:r>
        <w:drawing>
          <wp:inline distT="0" distB="0" distL="114300" distR="114300">
            <wp:extent cx="2700655" cy="2031365"/>
            <wp:effectExtent l="0" t="0" r="4445" b="6985"/>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115"/>
                    <a:stretch>
                      <a:fillRect/>
                    </a:stretch>
                  </pic:blipFill>
                  <pic:spPr>
                    <a:xfrm>
                      <a:off x="0" y="0"/>
                      <a:ext cx="2700655" cy="2031365"/>
                    </a:xfrm>
                    <a:prstGeom prst="rect">
                      <a:avLst/>
                    </a:prstGeom>
                    <a:noFill/>
                    <a:ln>
                      <a:noFill/>
                    </a:ln>
                  </pic:spPr>
                </pic:pic>
              </a:graphicData>
            </a:graphic>
          </wp:inline>
        </w:drawing>
      </w:r>
    </w:p>
    <w:p w14:paraId="28690D35">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b/>
          <w:bCs w:val="0"/>
          <w:sz w:val="28"/>
          <w:szCs w:val="28"/>
          <w:lang w:val="en-US" w:eastAsia="zh-CN"/>
        </w:rPr>
      </w:pPr>
      <w:bookmarkStart w:id="46" w:name="_Toc5520"/>
      <w:r>
        <w:rPr>
          <w:rFonts w:hint="eastAsia" w:ascii="宋体" w:hAnsi="宋体" w:eastAsia="宋体" w:cs="宋体"/>
          <w:b/>
          <w:bCs w:val="0"/>
          <w:sz w:val="28"/>
          <w:szCs w:val="28"/>
          <w:lang w:val="en-US" w:eastAsia="zh-CN"/>
        </w:rPr>
        <w:t>关于</w:t>
      </w:r>
      <w:bookmarkEnd w:id="46"/>
    </w:p>
    <w:p w14:paraId="383975F2">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47" w:name="_Toc26245"/>
      <w:r>
        <w:rPr>
          <w:rFonts w:hint="eastAsia" w:ascii="宋体" w:hAnsi="宋体" w:eastAsia="宋体" w:cs="宋体"/>
          <w:sz w:val="28"/>
          <w:szCs w:val="28"/>
          <w:lang w:val="en-US" w:eastAsia="zh-CN"/>
        </w:rPr>
        <w:t>关于我们</w:t>
      </w:r>
      <w:bookmarkEnd w:id="47"/>
    </w:p>
    <w:p w14:paraId="6EEFC1E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关于我们页面，展示终端开发方的公司网站、服务邮箱，服务热线等信息，同时展示本软件开发过程中使用的库以及第三方软件协议。</w:t>
      </w:r>
    </w:p>
    <w:p w14:paraId="053A48F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drawing>
          <wp:inline distT="0" distB="0" distL="114300" distR="114300">
            <wp:extent cx="3181350" cy="2118360"/>
            <wp:effectExtent l="0" t="0" r="0" b="15240"/>
            <wp:docPr id="210"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78"/>
                    <pic:cNvPicPr>
                      <a:picLocks noChangeAspect="1"/>
                    </pic:cNvPicPr>
                  </pic:nvPicPr>
                  <pic:blipFill>
                    <a:blip r:embed="rId116"/>
                    <a:srcRect l="1073" t="1193" r="928" b="904"/>
                    <a:stretch>
                      <a:fillRect/>
                    </a:stretch>
                  </pic:blipFill>
                  <pic:spPr>
                    <a:xfrm>
                      <a:off x="0" y="0"/>
                      <a:ext cx="3181350" cy="2118360"/>
                    </a:xfrm>
                    <a:prstGeom prst="rect">
                      <a:avLst/>
                    </a:prstGeom>
                    <a:noFill/>
                    <a:ln>
                      <a:noFill/>
                    </a:ln>
                  </pic:spPr>
                </pic:pic>
              </a:graphicData>
            </a:graphic>
          </wp:inline>
        </w:drawing>
      </w:r>
    </w:p>
    <w:p w14:paraId="073019B8">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48" w:name="_Toc31876"/>
      <w:r>
        <w:rPr>
          <w:rFonts w:hint="eastAsia" w:ascii="宋体" w:hAnsi="宋体" w:eastAsia="宋体" w:cs="宋体"/>
          <w:sz w:val="28"/>
          <w:szCs w:val="28"/>
          <w:lang w:val="en-US" w:eastAsia="zh-CN"/>
        </w:rPr>
        <w:t>注销账号</w:t>
      </w:r>
      <w:bookmarkEnd w:id="48"/>
    </w:p>
    <w:p w14:paraId="225C488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lang w:val="en-US" w:eastAsia="zh-CN"/>
        </w:rPr>
      </w:pPr>
      <w:r>
        <w:rPr>
          <w:rFonts w:hint="eastAsia" w:ascii="宋体" w:hAnsi="宋体" w:eastAsia="宋体" w:cs="宋体"/>
          <w:lang w:val="en-US" w:eastAsia="zh-CN"/>
        </w:rPr>
        <w:t>注销账号功能仅针对个人客户开放。点击注销账号，打开注销账号页面，勾选确认同意注销，即可注销当前登录所使用的Maitc账号。</w:t>
      </w:r>
    </w:p>
    <w:p w14:paraId="76C68B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color w:val="auto"/>
          <w:kern w:val="2"/>
          <w:sz w:val="21"/>
          <w:szCs w:val="21"/>
          <w:vertAlign w:val="baseline"/>
          <w:lang w:val="en-US" w:eastAsia="zh-CN" w:bidi="ar-SA"/>
        </w:rPr>
        <w:t>注意：注销账号可操作时间为每天15：30-20：00，请在此时间段内操作。注销账号后，该账号不可用，系统将退回到客户端登录页。</w:t>
      </w:r>
    </w:p>
    <w:p w14:paraId="4FD62AE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lang w:val="en-US" w:eastAsia="zh-CN"/>
        </w:rPr>
      </w:pPr>
      <w:r>
        <w:drawing>
          <wp:inline distT="0" distB="0" distL="114300" distR="114300">
            <wp:extent cx="4347845" cy="2665095"/>
            <wp:effectExtent l="0" t="0" r="14605" b="1905"/>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117"/>
                    <a:stretch>
                      <a:fillRect/>
                    </a:stretch>
                  </pic:blipFill>
                  <pic:spPr>
                    <a:xfrm>
                      <a:off x="0" y="0"/>
                      <a:ext cx="4347845" cy="2665095"/>
                    </a:xfrm>
                    <a:prstGeom prst="rect">
                      <a:avLst/>
                    </a:prstGeom>
                    <a:noFill/>
                    <a:ln>
                      <a:noFill/>
                    </a:ln>
                  </pic:spPr>
                </pic:pic>
              </a:graphicData>
            </a:graphic>
          </wp:inline>
        </w:drawing>
      </w:r>
    </w:p>
    <w:p w14:paraId="0AFE4120">
      <w:pPr>
        <w:pStyle w:val="2"/>
        <w:keepNext/>
        <w:keepLines/>
        <w:pageBreakBefore w:val="0"/>
        <w:widowControl w:val="0"/>
        <w:numPr>
          <w:ilvl w:val="0"/>
          <w:numId w:val="2"/>
        </w:numPr>
        <w:kinsoku/>
        <w:wordWrap/>
        <w:overflowPunct/>
        <w:topLinePunct w:val="0"/>
        <w:autoSpaceDE/>
        <w:autoSpaceDN/>
        <w:bidi w:val="0"/>
        <w:adjustRightInd/>
        <w:snapToGrid/>
        <w:spacing w:before="240" w:after="240" w:line="240" w:lineRule="auto"/>
        <w:ind w:left="425" w:leftChars="0" w:hanging="425" w:firstLineChars="0"/>
        <w:textAlignment w:val="auto"/>
        <w:rPr>
          <w:rFonts w:hint="eastAsia" w:ascii="宋体" w:hAnsi="宋体" w:eastAsia="宋体" w:cs="宋体"/>
          <w:b/>
          <w:bCs w:val="0"/>
          <w:sz w:val="30"/>
          <w:szCs w:val="30"/>
          <w:lang w:val="en-US" w:eastAsia="zh-CN"/>
        </w:rPr>
      </w:pPr>
      <w:bookmarkStart w:id="49" w:name="_Toc20918"/>
      <w:bookmarkStart w:id="50" w:name="_Toc12130"/>
      <w:bookmarkStart w:id="51" w:name="_Toc17342"/>
      <w:r>
        <w:rPr>
          <w:rFonts w:hint="eastAsia" w:ascii="宋体" w:hAnsi="宋体" w:eastAsia="宋体" w:cs="宋体"/>
          <w:b/>
          <w:bCs w:val="0"/>
          <w:sz w:val="30"/>
          <w:szCs w:val="30"/>
          <w:lang w:val="en-US" w:eastAsia="zh-CN"/>
        </w:rPr>
        <w:t>组件列表</w:t>
      </w:r>
      <w:bookmarkEnd w:id="49"/>
      <w:bookmarkEnd w:id="50"/>
      <w:bookmarkEnd w:id="51"/>
    </w:p>
    <w:p w14:paraId="46AD95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展示本系统可供使用所有组件，包含常用组件、交易组件、其他组件，期权交易等类别，每个组件类别下有多种组件可供选择。支持按组件名称搜索功能。</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4"/>
        <w:gridCol w:w="6408"/>
      </w:tblGrid>
      <w:tr w14:paraId="64B8C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4" w:type="dxa"/>
          </w:tcPr>
          <w:p w14:paraId="79DD28E9">
            <w:pPr>
              <w:jc w:val="center"/>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组件类别</w:t>
            </w:r>
          </w:p>
        </w:tc>
        <w:tc>
          <w:tcPr>
            <w:tcW w:w="6408" w:type="dxa"/>
          </w:tcPr>
          <w:p w14:paraId="3AE46F26">
            <w:pPr>
              <w:jc w:val="center"/>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组件明细</w:t>
            </w:r>
          </w:p>
        </w:tc>
      </w:tr>
      <w:tr w14:paraId="7B873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4" w:type="dxa"/>
            <w:vAlign w:val="center"/>
          </w:tcPr>
          <w:p w14:paraId="213C6268">
            <w:pPr>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常用组件</w:t>
            </w:r>
          </w:p>
        </w:tc>
        <w:tc>
          <w:tcPr>
            <w:tcW w:w="6408" w:type="dxa"/>
          </w:tcPr>
          <w:p w14:paraId="68B33494">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普通交易下单（含资产和持仓）、期货下单、期货委托明细、期货行情、消息中心、账户资产，通用委托成交表格组件、通用持仓。</w:t>
            </w:r>
          </w:p>
        </w:tc>
      </w:tr>
      <w:tr w14:paraId="0EFB6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4" w:type="dxa"/>
            <w:vAlign w:val="center"/>
          </w:tcPr>
          <w:p w14:paraId="024A5E15">
            <w:pPr>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交易组件</w:t>
            </w:r>
          </w:p>
        </w:tc>
        <w:tc>
          <w:tcPr>
            <w:tcW w:w="6408" w:type="dxa"/>
          </w:tcPr>
          <w:p w14:paraId="08145723">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多账户交易</w:t>
            </w:r>
          </w:p>
        </w:tc>
      </w:tr>
      <w:tr w14:paraId="60F50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4" w:type="dxa"/>
            <w:vAlign w:val="center"/>
          </w:tcPr>
          <w:p w14:paraId="615B8CD5">
            <w:pPr>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其他组件</w:t>
            </w:r>
          </w:p>
        </w:tc>
        <w:tc>
          <w:tcPr>
            <w:tcW w:w="6408" w:type="dxa"/>
          </w:tcPr>
          <w:p w14:paraId="49CFF281">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指令委托列表，通用行情组件</w:t>
            </w:r>
          </w:p>
        </w:tc>
      </w:tr>
      <w:tr w14:paraId="401F2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4" w:type="dxa"/>
            <w:vAlign w:val="center"/>
          </w:tcPr>
          <w:p w14:paraId="167694F7">
            <w:pPr>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期权交易</w:t>
            </w:r>
          </w:p>
        </w:tc>
        <w:tc>
          <w:tcPr>
            <w:tcW w:w="6408" w:type="dxa"/>
          </w:tcPr>
          <w:p w14:paraId="30180148">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T型行情，期权交易、期货期权交易、期货期权委托明细、期货期权行情、期货期权闪电下单</w:t>
            </w:r>
          </w:p>
        </w:tc>
      </w:tr>
    </w:tbl>
    <w:p w14:paraId="537A2D61">
      <w:pPr>
        <w:pStyle w:val="2"/>
        <w:keepNext/>
        <w:keepLines/>
        <w:pageBreakBefore w:val="0"/>
        <w:widowControl w:val="0"/>
        <w:numPr>
          <w:ilvl w:val="0"/>
          <w:numId w:val="2"/>
        </w:numPr>
        <w:kinsoku/>
        <w:wordWrap/>
        <w:overflowPunct/>
        <w:topLinePunct w:val="0"/>
        <w:autoSpaceDE/>
        <w:autoSpaceDN/>
        <w:bidi w:val="0"/>
        <w:adjustRightInd/>
        <w:snapToGrid/>
        <w:spacing w:before="240" w:after="240" w:line="240" w:lineRule="auto"/>
        <w:ind w:left="425" w:leftChars="0" w:hanging="425" w:firstLineChars="0"/>
        <w:textAlignment w:val="auto"/>
        <w:rPr>
          <w:rFonts w:hint="eastAsia" w:ascii="宋体" w:hAnsi="宋体" w:eastAsia="宋体" w:cs="宋体"/>
          <w:b/>
          <w:bCs w:val="0"/>
          <w:sz w:val="30"/>
          <w:szCs w:val="30"/>
          <w:lang w:val="en-US" w:eastAsia="zh-CN"/>
        </w:rPr>
      </w:pPr>
      <w:bookmarkStart w:id="52" w:name="_Toc18925"/>
      <w:bookmarkStart w:id="53" w:name="_Toc30859"/>
      <w:bookmarkStart w:id="54" w:name="_Toc7628"/>
      <w:r>
        <w:rPr>
          <w:rFonts w:hint="eastAsia" w:ascii="宋体" w:hAnsi="宋体" w:eastAsia="宋体" w:cs="宋体"/>
          <w:b/>
          <w:bCs w:val="0"/>
          <w:sz w:val="30"/>
          <w:szCs w:val="30"/>
          <w:lang w:val="en-US" w:eastAsia="zh-CN"/>
        </w:rPr>
        <w:t>用户数据上传下载</w:t>
      </w:r>
      <w:bookmarkEnd w:id="52"/>
      <w:bookmarkEnd w:id="53"/>
      <w:bookmarkEnd w:id="54"/>
    </w:p>
    <w:p w14:paraId="5A8194B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用户数据上传下载配置，包含上传用户设置、上传自定义布局、下载用户设置，下载自定义布局等功能模块。</w:t>
      </w:r>
    </w:p>
    <w:p w14:paraId="40CEE189">
      <w:pPr>
        <w:pStyle w:val="2"/>
        <w:keepNext/>
        <w:keepLines/>
        <w:pageBreakBefore w:val="0"/>
        <w:widowControl w:val="0"/>
        <w:numPr>
          <w:ilvl w:val="0"/>
          <w:numId w:val="2"/>
        </w:numPr>
        <w:kinsoku/>
        <w:wordWrap/>
        <w:overflowPunct/>
        <w:topLinePunct w:val="0"/>
        <w:autoSpaceDE/>
        <w:autoSpaceDN/>
        <w:bidi w:val="0"/>
        <w:adjustRightInd/>
        <w:snapToGrid/>
        <w:spacing w:before="240" w:after="240" w:line="240" w:lineRule="auto"/>
        <w:ind w:left="425" w:leftChars="0" w:hanging="425" w:firstLineChars="0"/>
        <w:textAlignment w:val="auto"/>
        <w:rPr>
          <w:rFonts w:hint="eastAsia" w:ascii="宋体" w:hAnsi="宋体" w:eastAsia="宋体" w:cs="宋体"/>
          <w:b/>
          <w:bCs w:val="0"/>
          <w:sz w:val="30"/>
          <w:szCs w:val="30"/>
          <w:lang w:val="en-US" w:eastAsia="zh-CN"/>
        </w:rPr>
      </w:pPr>
      <w:bookmarkStart w:id="55" w:name="_Toc27593"/>
      <w:bookmarkStart w:id="56" w:name="_Toc5046"/>
      <w:bookmarkStart w:id="57" w:name="_Toc5204"/>
      <w:r>
        <w:rPr>
          <w:rFonts w:hint="eastAsia" w:ascii="宋体" w:hAnsi="宋体" w:eastAsia="宋体" w:cs="宋体"/>
          <w:b/>
          <w:bCs w:val="0"/>
          <w:sz w:val="30"/>
          <w:szCs w:val="30"/>
          <w:lang w:val="en-US" w:eastAsia="zh-CN"/>
        </w:rPr>
        <w:t>设置</w:t>
      </w:r>
      <w:bookmarkEnd w:id="55"/>
      <w:bookmarkEnd w:id="56"/>
      <w:bookmarkEnd w:id="57"/>
    </w:p>
    <w:p w14:paraId="62E1442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系统设置包含交易设置、账号设置、密码设置，客户端设置四大模块，每个模块下又包含对应的子模块，具体见下表。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3"/>
        <w:gridCol w:w="6229"/>
      </w:tblGrid>
      <w:tr w14:paraId="5555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3" w:type="dxa"/>
          </w:tcPr>
          <w:p w14:paraId="460B0C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设置大模块</w:t>
            </w:r>
          </w:p>
        </w:tc>
        <w:tc>
          <w:tcPr>
            <w:tcW w:w="6229" w:type="dxa"/>
          </w:tcPr>
          <w:p w14:paraId="60616D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设置子模块</w:t>
            </w:r>
          </w:p>
        </w:tc>
      </w:tr>
      <w:tr w14:paraId="6809E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293" w:type="dxa"/>
            <w:vAlign w:val="center"/>
          </w:tcPr>
          <w:p w14:paraId="1658B2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交易设置</w:t>
            </w:r>
          </w:p>
        </w:tc>
        <w:tc>
          <w:tcPr>
            <w:tcW w:w="6229" w:type="dxa"/>
          </w:tcPr>
          <w:p w14:paraId="3D056CD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全局交易设置、基础交易设置、指令交易设置、期货交易设置、价格笼子设置、交易费率设置、期权交易设置、期货期权交易设置、组合交易设置</w:t>
            </w:r>
          </w:p>
        </w:tc>
      </w:tr>
      <w:tr w14:paraId="4FFF7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3" w:type="dxa"/>
            <w:vAlign w:val="center"/>
          </w:tcPr>
          <w:p w14:paraId="716EF0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账号设置</w:t>
            </w:r>
          </w:p>
        </w:tc>
        <w:tc>
          <w:tcPr>
            <w:tcW w:w="6229" w:type="dxa"/>
          </w:tcPr>
          <w:p w14:paraId="6F1AB29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账号简称设置、账号优先级设置，股东账号设置</w:t>
            </w:r>
          </w:p>
        </w:tc>
      </w:tr>
      <w:tr w14:paraId="78EA9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3" w:type="dxa"/>
            <w:vAlign w:val="center"/>
          </w:tcPr>
          <w:p w14:paraId="50EF3D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密码设置</w:t>
            </w:r>
          </w:p>
        </w:tc>
        <w:tc>
          <w:tcPr>
            <w:tcW w:w="6229" w:type="dxa"/>
          </w:tcPr>
          <w:p w14:paraId="63C661A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交易密码校验</w:t>
            </w:r>
          </w:p>
        </w:tc>
      </w:tr>
      <w:tr w14:paraId="29742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3" w:type="dxa"/>
            <w:vAlign w:val="center"/>
          </w:tcPr>
          <w:p w14:paraId="6DCB7A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客户端设置</w:t>
            </w:r>
          </w:p>
        </w:tc>
        <w:tc>
          <w:tcPr>
            <w:tcW w:w="6229" w:type="dxa"/>
          </w:tcPr>
          <w:p w14:paraId="2150C16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通用设置、修改密码、监控剪贴板、系统公告，关于</w:t>
            </w:r>
          </w:p>
        </w:tc>
      </w:tr>
    </w:tbl>
    <w:p w14:paraId="19BB9494">
      <w:pPr>
        <w:rPr>
          <w:rFonts w:hint="eastAsia" w:ascii="宋体" w:hAnsi="宋体" w:eastAsia="宋体" w:cs="宋体"/>
          <w:lang w:val="en-US" w:eastAsia="zh-CN"/>
        </w:rPr>
      </w:pPr>
    </w:p>
    <w:p w14:paraId="5F1350FE">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28"/>
          <w:szCs w:val="28"/>
          <w:lang w:val="en-US" w:eastAsia="zh-CN"/>
        </w:rPr>
      </w:pPr>
      <w:bookmarkStart w:id="58" w:name="_Toc20715"/>
      <w:r>
        <w:rPr>
          <w:rFonts w:hint="eastAsia" w:ascii="宋体" w:hAnsi="宋体" w:eastAsia="宋体" w:cs="宋体"/>
          <w:sz w:val="28"/>
          <w:szCs w:val="28"/>
          <w:lang w:val="en-US" w:eastAsia="zh-CN"/>
        </w:rPr>
        <w:t>交易设置</w:t>
      </w:r>
      <w:bookmarkEnd w:id="58"/>
    </w:p>
    <w:p w14:paraId="03C2DA62">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59" w:name="_Toc9173"/>
      <w:r>
        <w:rPr>
          <w:rFonts w:hint="eastAsia" w:ascii="宋体" w:hAnsi="宋体" w:eastAsia="宋体" w:cs="宋体"/>
          <w:sz w:val="28"/>
          <w:szCs w:val="28"/>
          <w:lang w:val="en-US" w:eastAsia="zh-CN"/>
        </w:rPr>
        <w:t>全局交易设置</w:t>
      </w:r>
      <w:bookmarkEnd w:id="59"/>
    </w:p>
    <w:p w14:paraId="02EB6B4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分为全局交易设置和价格浮动设置（仅支持普通交易和组合交易）。</w:t>
      </w:r>
    </w:p>
    <w:p w14:paraId="0FD56E9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drawing>
          <wp:inline distT="0" distB="0" distL="114300" distR="114300">
            <wp:extent cx="4735830" cy="3514725"/>
            <wp:effectExtent l="0" t="0" r="3175" b="4445"/>
            <wp:docPr id="212"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80"/>
                    <pic:cNvPicPr>
                      <a:picLocks noChangeAspect="1"/>
                    </pic:cNvPicPr>
                  </pic:nvPicPr>
                  <pic:blipFill>
                    <a:blip r:embed="rId118"/>
                    <a:srcRect l="1820" t="2784" r="1676" b="2705"/>
                    <a:stretch>
                      <a:fillRect/>
                    </a:stretch>
                  </pic:blipFill>
                  <pic:spPr>
                    <a:xfrm>
                      <a:off x="0" y="0"/>
                      <a:ext cx="4735830" cy="3514725"/>
                    </a:xfrm>
                    <a:prstGeom prst="rect">
                      <a:avLst/>
                    </a:prstGeom>
                    <a:noFill/>
                    <a:ln>
                      <a:noFill/>
                    </a:ln>
                  </pic:spPr>
                </pic:pic>
              </a:graphicData>
            </a:graphic>
          </wp:inline>
        </w:drawing>
      </w:r>
    </w:p>
    <w:p w14:paraId="27CAAADF">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60" w:name="_Toc15580"/>
      <w:r>
        <w:rPr>
          <w:rFonts w:hint="eastAsia" w:ascii="宋体" w:hAnsi="宋体" w:eastAsia="宋体" w:cs="宋体"/>
          <w:sz w:val="28"/>
          <w:szCs w:val="28"/>
          <w:lang w:val="en-US" w:eastAsia="zh-CN"/>
        </w:rPr>
        <w:t>基础交易设置</w:t>
      </w:r>
      <w:bookmarkEnd w:id="60"/>
    </w:p>
    <w:p w14:paraId="1C79E83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分为常用数量和金额、可买/可卖数量比例显隐设置（仅支持普通交易）、单笔委托数量上限（仅支持普通交易）、限价买卖价格初始设置（仅适配普通交易）、行情联动设置（仅适配普通交易）。</w:t>
      </w:r>
    </w:p>
    <w:p w14:paraId="22FABE9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drawing>
          <wp:inline distT="0" distB="0" distL="114300" distR="114300">
            <wp:extent cx="4328160" cy="3255645"/>
            <wp:effectExtent l="0" t="0" r="635" b="4445"/>
            <wp:docPr id="213"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81"/>
                    <pic:cNvPicPr>
                      <a:picLocks noChangeAspect="1"/>
                    </pic:cNvPicPr>
                  </pic:nvPicPr>
                  <pic:blipFill>
                    <a:blip r:embed="rId119"/>
                    <a:srcRect l="1928" t="2635" r="2668" b="2681"/>
                    <a:stretch>
                      <a:fillRect/>
                    </a:stretch>
                  </pic:blipFill>
                  <pic:spPr>
                    <a:xfrm>
                      <a:off x="0" y="0"/>
                      <a:ext cx="4328160" cy="3255645"/>
                    </a:xfrm>
                    <a:prstGeom prst="rect">
                      <a:avLst/>
                    </a:prstGeom>
                    <a:noFill/>
                    <a:ln>
                      <a:noFill/>
                    </a:ln>
                  </pic:spPr>
                </pic:pic>
              </a:graphicData>
            </a:graphic>
          </wp:inline>
        </w:drawing>
      </w:r>
    </w:p>
    <w:p w14:paraId="429E7FED">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61" w:name="_Toc12904"/>
      <w:r>
        <w:rPr>
          <w:rFonts w:hint="eastAsia" w:ascii="宋体" w:hAnsi="宋体" w:eastAsia="宋体" w:cs="宋体"/>
          <w:sz w:val="28"/>
          <w:szCs w:val="28"/>
          <w:lang w:val="en-US" w:eastAsia="zh-CN"/>
        </w:rPr>
        <w:t>指令交易设置</w:t>
      </w:r>
      <w:bookmarkEnd w:id="61"/>
    </w:p>
    <w:p w14:paraId="3A3086B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包括指令执行设置、单笔委托数量上线（暂时仅适配个股指令）。</w:t>
      </w:r>
    </w:p>
    <w:p w14:paraId="1863AE1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drawing>
          <wp:inline distT="0" distB="0" distL="114300" distR="114300">
            <wp:extent cx="4419600" cy="3093720"/>
            <wp:effectExtent l="0" t="0" r="6350" b="4445"/>
            <wp:docPr id="214"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82"/>
                    <pic:cNvPicPr>
                      <a:picLocks noChangeAspect="1"/>
                    </pic:cNvPicPr>
                  </pic:nvPicPr>
                  <pic:blipFill>
                    <a:blip r:embed="rId120"/>
                    <a:srcRect l="1174" t="1941" r="1761" b="2355"/>
                    <a:stretch>
                      <a:fillRect/>
                    </a:stretch>
                  </pic:blipFill>
                  <pic:spPr>
                    <a:xfrm>
                      <a:off x="0" y="0"/>
                      <a:ext cx="4419600" cy="3093720"/>
                    </a:xfrm>
                    <a:prstGeom prst="rect">
                      <a:avLst/>
                    </a:prstGeom>
                    <a:noFill/>
                    <a:ln>
                      <a:noFill/>
                    </a:ln>
                  </pic:spPr>
                </pic:pic>
              </a:graphicData>
            </a:graphic>
          </wp:inline>
        </w:drawing>
      </w:r>
    </w:p>
    <w:p w14:paraId="7BDA7A67">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62" w:name="_Toc28174"/>
      <w:r>
        <w:rPr>
          <w:rFonts w:hint="eastAsia" w:ascii="宋体" w:hAnsi="宋体" w:eastAsia="宋体" w:cs="宋体"/>
          <w:sz w:val="28"/>
          <w:szCs w:val="28"/>
          <w:lang w:val="en-US" w:eastAsia="zh-CN"/>
        </w:rPr>
        <w:t>期货交易设置</w:t>
      </w:r>
      <w:bookmarkEnd w:id="62"/>
    </w:p>
    <w:p w14:paraId="2A380B6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设置不同交易操作的默认价格类型、默认数量以及是否进行二次确认。</w:t>
      </w:r>
    </w:p>
    <w:p w14:paraId="49CBAAF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drawing>
          <wp:inline distT="0" distB="0" distL="114300" distR="114300">
            <wp:extent cx="4697095" cy="3123565"/>
            <wp:effectExtent l="0" t="0" r="9525" b="6985"/>
            <wp:docPr id="215"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83"/>
                    <pic:cNvPicPr>
                      <a:picLocks noChangeAspect="1"/>
                    </pic:cNvPicPr>
                  </pic:nvPicPr>
                  <pic:blipFill>
                    <a:blip r:embed="rId121"/>
                    <a:srcRect l="1412" t="1809" r="1702" b="3678"/>
                    <a:stretch>
                      <a:fillRect/>
                    </a:stretch>
                  </pic:blipFill>
                  <pic:spPr>
                    <a:xfrm>
                      <a:off x="0" y="0"/>
                      <a:ext cx="4697095" cy="3123565"/>
                    </a:xfrm>
                    <a:prstGeom prst="rect">
                      <a:avLst/>
                    </a:prstGeom>
                    <a:noFill/>
                    <a:ln>
                      <a:noFill/>
                    </a:ln>
                  </pic:spPr>
                </pic:pic>
              </a:graphicData>
            </a:graphic>
          </wp:inline>
        </w:drawing>
      </w:r>
    </w:p>
    <w:p w14:paraId="03672202">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63" w:name="_Toc2987"/>
      <w:r>
        <w:rPr>
          <w:rFonts w:hint="eastAsia" w:ascii="宋体" w:hAnsi="宋体" w:eastAsia="宋体" w:cs="宋体"/>
          <w:sz w:val="28"/>
          <w:szCs w:val="28"/>
          <w:lang w:val="en-US" w:eastAsia="zh-CN"/>
        </w:rPr>
        <w:t>价格笼子设置</w:t>
      </w:r>
      <w:bookmarkEnd w:id="63"/>
    </w:p>
    <w:p w14:paraId="421E2BB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包括价格笼子应用设置和价格笼子参数设置，见下图：</w:t>
      </w:r>
    </w:p>
    <w:p w14:paraId="5AE83A1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drawing>
          <wp:inline distT="0" distB="0" distL="114300" distR="114300">
            <wp:extent cx="4672330" cy="3484245"/>
            <wp:effectExtent l="0" t="0" r="1905" b="2540"/>
            <wp:docPr id="216"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84"/>
                    <pic:cNvPicPr>
                      <a:picLocks noChangeAspect="1"/>
                    </pic:cNvPicPr>
                  </pic:nvPicPr>
                  <pic:blipFill>
                    <a:blip r:embed="rId122"/>
                    <a:srcRect l="1446" t="2053" r="1772" b="2689"/>
                    <a:stretch>
                      <a:fillRect/>
                    </a:stretch>
                  </pic:blipFill>
                  <pic:spPr>
                    <a:xfrm>
                      <a:off x="0" y="0"/>
                      <a:ext cx="4672330" cy="3484245"/>
                    </a:xfrm>
                    <a:prstGeom prst="rect">
                      <a:avLst/>
                    </a:prstGeom>
                    <a:noFill/>
                    <a:ln>
                      <a:noFill/>
                    </a:ln>
                  </pic:spPr>
                </pic:pic>
              </a:graphicData>
            </a:graphic>
          </wp:inline>
        </w:drawing>
      </w:r>
    </w:p>
    <w:p w14:paraId="251C53E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lang w:val="en-US" w:eastAsia="zh-CN"/>
        </w:rPr>
        <w:t>当前设置发生变化且未保存，切换模块时弹出保存设置二次确认弹窗。</w:t>
      </w:r>
    </w:p>
    <w:p w14:paraId="4B99EABC">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64" w:name="_Toc4310"/>
      <w:r>
        <w:rPr>
          <w:rFonts w:hint="eastAsia" w:ascii="宋体" w:hAnsi="宋体" w:eastAsia="宋体" w:cs="宋体"/>
          <w:sz w:val="28"/>
          <w:szCs w:val="28"/>
          <w:lang w:val="en-US" w:eastAsia="zh-CN"/>
        </w:rPr>
        <w:t>交易费率设置</w:t>
      </w:r>
      <w:bookmarkEnd w:id="64"/>
    </w:p>
    <w:p w14:paraId="0524CB3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包括交易费率启用开关、上交所交易费率、深交所交易费率、费率说明。</w:t>
      </w:r>
    </w:p>
    <w:p w14:paraId="22E90FD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drawing>
          <wp:inline distT="0" distB="0" distL="114300" distR="114300">
            <wp:extent cx="4460875" cy="3028315"/>
            <wp:effectExtent l="0" t="0" r="8255" b="5080"/>
            <wp:docPr id="217"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85"/>
                    <pic:cNvPicPr>
                      <a:picLocks noChangeAspect="1"/>
                    </pic:cNvPicPr>
                  </pic:nvPicPr>
                  <pic:blipFill>
                    <a:blip r:embed="rId123"/>
                    <a:srcRect l="1586" t="1923" r="1598" b="2741"/>
                    <a:stretch>
                      <a:fillRect/>
                    </a:stretch>
                  </pic:blipFill>
                  <pic:spPr>
                    <a:xfrm>
                      <a:off x="0" y="0"/>
                      <a:ext cx="4460875" cy="3028315"/>
                    </a:xfrm>
                    <a:prstGeom prst="rect">
                      <a:avLst/>
                    </a:prstGeom>
                    <a:noFill/>
                    <a:ln>
                      <a:noFill/>
                    </a:ln>
                  </pic:spPr>
                </pic:pic>
              </a:graphicData>
            </a:graphic>
          </wp:inline>
        </w:drawing>
      </w:r>
    </w:p>
    <w:p w14:paraId="31483799">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65" w:name="_Toc14406"/>
      <w:r>
        <w:rPr>
          <w:rFonts w:hint="eastAsia" w:ascii="宋体" w:hAnsi="宋体" w:eastAsia="宋体" w:cs="宋体"/>
          <w:sz w:val="28"/>
          <w:szCs w:val="28"/>
          <w:lang w:val="en-US" w:eastAsia="zh-CN"/>
        </w:rPr>
        <w:t>期权交易设置</w:t>
      </w:r>
      <w:bookmarkEnd w:id="65"/>
    </w:p>
    <w:p w14:paraId="22E1206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包括下单习惯、拆单设置、默认价格价格类型三部分，支持用户设置三键/四键下单，设置期权下单单笔委托的拆单规则，选择默认价格类型。</w:t>
      </w:r>
    </w:p>
    <w:p w14:paraId="0A82DD3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drawing>
          <wp:inline distT="0" distB="0" distL="114300" distR="114300">
            <wp:extent cx="4495800" cy="3376930"/>
            <wp:effectExtent l="0" t="0" r="5715" b="1905"/>
            <wp:docPr id="218"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86"/>
                    <pic:cNvPicPr>
                      <a:picLocks noChangeAspect="1"/>
                    </pic:cNvPicPr>
                  </pic:nvPicPr>
                  <pic:blipFill>
                    <a:blip r:embed="rId124"/>
                    <a:srcRect l="1724" t="2371" r="1772" b="1957"/>
                    <a:stretch>
                      <a:fillRect/>
                    </a:stretch>
                  </pic:blipFill>
                  <pic:spPr>
                    <a:xfrm>
                      <a:off x="0" y="0"/>
                      <a:ext cx="4495800" cy="3376930"/>
                    </a:xfrm>
                    <a:prstGeom prst="rect">
                      <a:avLst/>
                    </a:prstGeom>
                    <a:noFill/>
                    <a:ln>
                      <a:noFill/>
                    </a:ln>
                  </pic:spPr>
                </pic:pic>
              </a:graphicData>
            </a:graphic>
          </wp:inline>
        </w:drawing>
      </w:r>
    </w:p>
    <w:p w14:paraId="26E68451">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66" w:name="_Toc27216"/>
      <w:r>
        <w:rPr>
          <w:rFonts w:hint="eastAsia" w:ascii="宋体" w:hAnsi="宋体" w:eastAsia="宋体" w:cs="宋体"/>
          <w:sz w:val="28"/>
          <w:szCs w:val="28"/>
          <w:lang w:val="en-US" w:eastAsia="zh-CN"/>
        </w:rPr>
        <w:t>期货期权交易设置</w:t>
      </w:r>
      <w:bookmarkEnd w:id="66"/>
    </w:p>
    <w:p w14:paraId="7B1B0B4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包括闪电下单拆单设置、期货期权交易下单操作设置。</w:t>
      </w:r>
    </w:p>
    <w:p w14:paraId="76A8865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drawing>
          <wp:inline distT="0" distB="0" distL="114300" distR="114300">
            <wp:extent cx="4523740" cy="3377565"/>
            <wp:effectExtent l="0" t="0" r="10160" b="1270"/>
            <wp:docPr id="219"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87"/>
                    <pic:cNvPicPr>
                      <a:picLocks noChangeAspect="1"/>
                    </pic:cNvPicPr>
                  </pic:nvPicPr>
                  <pic:blipFill>
                    <a:blip r:embed="rId125"/>
                    <a:srcRect l="1724" t="2593" r="1567" b="2116"/>
                    <a:stretch>
                      <a:fillRect/>
                    </a:stretch>
                  </pic:blipFill>
                  <pic:spPr>
                    <a:xfrm>
                      <a:off x="0" y="0"/>
                      <a:ext cx="4523740" cy="3377565"/>
                    </a:xfrm>
                    <a:prstGeom prst="rect">
                      <a:avLst/>
                    </a:prstGeom>
                    <a:noFill/>
                    <a:ln>
                      <a:noFill/>
                    </a:ln>
                  </pic:spPr>
                </pic:pic>
              </a:graphicData>
            </a:graphic>
          </wp:inline>
        </w:drawing>
      </w:r>
    </w:p>
    <w:p w14:paraId="454ABD49">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67" w:name="_Toc13199"/>
      <w:r>
        <w:rPr>
          <w:rFonts w:hint="eastAsia" w:ascii="宋体" w:hAnsi="宋体" w:eastAsia="宋体" w:cs="宋体"/>
          <w:sz w:val="28"/>
          <w:szCs w:val="28"/>
          <w:lang w:val="en-US" w:eastAsia="zh-CN"/>
        </w:rPr>
        <w:t>组合交易设置</w:t>
      </w:r>
      <w:bookmarkEnd w:id="67"/>
    </w:p>
    <w:p w14:paraId="4456B45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包括组合委托、组合导入设置、补单弹窗设置、其他设置。</w:t>
      </w:r>
    </w:p>
    <w:p w14:paraId="11A2A09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lang w:val="en-US" w:eastAsia="zh-CN"/>
        </w:rPr>
      </w:pPr>
      <w:r>
        <w:rPr>
          <w:rFonts w:hint="eastAsia" w:ascii="宋体" w:hAnsi="宋体" w:eastAsia="宋体" w:cs="宋体"/>
        </w:rPr>
        <w:drawing>
          <wp:inline distT="0" distB="0" distL="114300" distR="114300">
            <wp:extent cx="4602480" cy="3267710"/>
            <wp:effectExtent l="0" t="0" r="6985" b="3175"/>
            <wp:docPr id="220"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88"/>
                    <pic:cNvPicPr>
                      <a:picLocks noChangeAspect="1"/>
                    </pic:cNvPicPr>
                  </pic:nvPicPr>
                  <pic:blipFill>
                    <a:blip r:embed="rId126"/>
                    <a:srcRect l="1402" t="1894" r="1788" b="2693"/>
                    <a:stretch>
                      <a:fillRect/>
                    </a:stretch>
                  </pic:blipFill>
                  <pic:spPr>
                    <a:xfrm>
                      <a:off x="0" y="0"/>
                      <a:ext cx="4602480" cy="3267710"/>
                    </a:xfrm>
                    <a:prstGeom prst="rect">
                      <a:avLst/>
                    </a:prstGeom>
                    <a:noFill/>
                    <a:ln>
                      <a:noFill/>
                    </a:ln>
                  </pic:spPr>
                </pic:pic>
              </a:graphicData>
            </a:graphic>
          </wp:inline>
        </w:drawing>
      </w:r>
    </w:p>
    <w:p w14:paraId="240CA2D2">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28"/>
          <w:szCs w:val="28"/>
          <w:lang w:val="en-US" w:eastAsia="zh-CN"/>
        </w:rPr>
      </w:pPr>
      <w:bookmarkStart w:id="68" w:name="_Toc28778"/>
      <w:r>
        <w:rPr>
          <w:rFonts w:hint="eastAsia" w:ascii="宋体" w:hAnsi="宋体" w:eastAsia="宋体" w:cs="宋体"/>
          <w:sz w:val="28"/>
          <w:szCs w:val="28"/>
          <w:lang w:val="en-US" w:eastAsia="zh-CN"/>
        </w:rPr>
        <w:t>账号设置</w:t>
      </w:r>
      <w:bookmarkEnd w:id="68"/>
    </w:p>
    <w:p w14:paraId="3B148E1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账号设置包含账号简称设置、账号优先级设置，股东账号设置。</w:t>
      </w:r>
    </w:p>
    <w:p w14:paraId="2885A923">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69" w:name="_Toc3078"/>
      <w:r>
        <w:rPr>
          <w:rFonts w:hint="eastAsia" w:ascii="宋体" w:hAnsi="宋体" w:eastAsia="宋体" w:cs="宋体"/>
          <w:sz w:val="28"/>
          <w:szCs w:val="28"/>
          <w:lang w:val="en-US" w:eastAsia="zh-CN"/>
        </w:rPr>
        <w:t>账号简称设置</w:t>
      </w:r>
      <w:bookmarkEnd w:id="69"/>
    </w:p>
    <w:p w14:paraId="7970DA4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双击目标账号的账号简称单元格，即可编辑账号简称。</w:t>
      </w:r>
    </w:p>
    <w:p w14:paraId="4CB2BF7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drawing>
          <wp:inline distT="0" distB="0" distL="114300" distR="114300">
            <wp:extent cx="4291330" cy="3037205"/>
            <wp:effectExtent l="0" t="0" r="5080" b="6985"/>
            <wp:docPr id="221"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89"/>
                    <pic:cNvPicPr>
                      <a:picLocks noChangeAspect="1"/>
                    </pic:cNvPicPr>
                  </pic:nvPicPr>
                  <pic:blipFill>
                    <a:blip r:embed="rId127"/>
                    <a:srcRect l="1455" t="2068" r="1652" b="2838"/>
                    <a:stretch>
                      <a:fillRect/>
                    </a:stretch>
                  </pic:blipFill>
                  <pic:spPr>
                    <a:xfrm>
                      <a:off x="0" y="0"/>
                      <a:ext cx="4291330" cy="3037205"/>
                    </a:xfrm>
                    <a:prstGeom prst="rect">
                      <a:avLst/>
                    </a:prstGeom>
                    <a:noFill/>
                    <a:ln>
                      <a:noFill/>
                    </a:ln>
                  </pic:spPr>
                </pic:pic>
              </a:graphicData>
            </a:graphic>
          </wp:inline>
        </w:drawing>
      </w:r>
    </w:p>
    <w:p w14:paraId="3CA129BF">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70" w:name="_Toc11995"/>
      <w:r>
        <w:rPr>
          <w:rFonts w:hint="eastAsia" w:ascii="宋体" w:hAnsi="宋体" w:eastAsia="宋体" w:cs="宋体"/>
          <w:sz w:val="28"/>
          <w:szCs w:val="28"/>
          <w:lang w:val="en-US" w:eastAsia="zh-CN"/>
        </w:rPr>
        <w:t>账号优先级设置</w:t>
      </w:r>
      <w:bookmarkEnd w:id="70"/>
    </w:p>
    <w:p w14:paraId="14D5A95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lang w:val="en-US" w:eastAsia="zh-CN"/>
        </w:rPr>
        <w:t>点击目标账号上下拖动可调整目标账号优先级顺序。</w:t>
      </w:r>
    </w:p>
    <w:p w14:paraId="1857661B">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28"/>
          <w:szCs w:val="28"/>
          <w:lang w:val="en-US" w:eastAsia="zh-CN"/>
        </w:rPr>
      </w:pPr>
      <w:bookmarkStart w:id="71" w:name="_Toc24787"/>
      <w:r>
        <w:rPr>
          <w:rFonts w:hint="eastAsia" w:ascii="宋体" w:hAnsi="宋体" w:eastAsia="宋体" w:cs="宋体"/>
          <w:sz w:val="28"/>
          <w:szCs w:val="28"/>
          <w:lang w:val="en-US" w:eastAsia="zh-CN"/>
        </w:rPr>
        <w:t>密码设置</w:t>
      </w:r>
      <w:bookmarkEnd w:id="71"/>
    </w:p>
    <w:p w14:paraId="22198A4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密码设置包含交易密码校验。支持资金账户的密码校验。</w:t>
      </w:r>
    </w:p>
    <w:p w14:paraId="5BC205F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lang w:val="en-US" w:eastAsia="zh-CN"/>
        </w:rPr>
      </w:pPr>
      <w:r>
        <w:rPr>
          <w:rFonts w:hint="eastAsia" w:ascii="宋体" w:hAnsi="宋体" w:eastAsia="宋体" w:cs="宋体"/>
        </w:rPr>
        <w:drawing>
          <wp:inline distT="0" distB="0" distL="114300" distR="114300">
            <wp:extent cx="4398010" cy="3204210"/>
            <wp:effectExtent l="0" t="0" r="6350" b="1905"/>
            <wp:docPr id="222"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90"/>
                    <pic:cNvPicPr>
                      <a:picLocks noChangeAspect="1"/>
                    </pic:cNvPicPr>
                  </pic:nvPicPr>
                  <pic:blipFill>
                    <a:blip r:embed="rId128"/>
                    <a:srcRect l="1535" t="2183" r="2026" b="3460"/>
                    <a:stretch>
                      <a:fillRect/>
                    </a:stretch>
                  </pic:blipFill>
                  <pic:spPr>
                    <a:xfrm>
                      <a:off x="0" y="0"/>
                      <a:ext cx="4398010" cy="3204210"/>
                    </a:xfrm>
                    <a:prstGeom prst="rect">
                      <a:avLst/>
                    </a:prstGeom>
                    <a:noFill/>
                    <a:ln>
                      <a:noFill/>
                    </a:ln>
                  </pic:spPr>
                </pic:pic>
              </a:graphicData>
            </a:graphic>
          </wp:inline>
        </w:drawing>
      </w:r>
    </w:p>
    <w:p w14:paraId="6308D276">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28"/>
          <w:szCs w:val="28"/>
          <w:lang w:val="en-US" w:eastAsia="zh-CN"/>
        </w:rPr>
      </w:pPr>
      <w:bookmarkStart w:id="72" w:name="_Toc18738"/>
      <w:r>
        <w:rPr>
          <w:rFonts w:hint="eastAsia" w:ascii="宋体" w:hAnsi="宋体" w:eastAsia="宋体" w:cs="宋体"/>
          <w:sz w:val="28"/>
          <w:szCs w:val="28"/>
          <w:lang w:val="en-US" w:eastAsia="zh-CN"/>
        </w:rPr>
        <w:t>客户端设置</w:t>
      </w:r>
      <w:bookmarkEnd w:id="72"/>
    </w:p>
    <w:p w14:paraId="24B0530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客户端设置包含通用设置、修改密码、监控剪贴板、系统公告，关于等模块。</w:t>
      </w:r>
    </w:p>
    <w:p w14:paraId="5FC828D6">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73" w:name="_Toc27690"/>
      <w:r>
        <w:rPr>
          <w:rFonts w:hint="eastAsia" w:ascii="宋体" w:hAnsi="宋体" w:eastAsia="宋体" w:cs="宋体"/>
          <w:sz w:val="28"/>
          <w:szCs w:val="28"/>
          <w:lang w:val="en-US" w:eastAsia="zh-CN"/>
        </w:rPr>
        <w:t>通用设置</w:t>
      </w:r>
      <w:bookmarkEnd w:id="73"/>
    </w:p>
    <w:p w14:paraId="35FA54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包括客户端字体缩放、客户端锁定、预留信息设置三部分设置。</w:t>
      </w:r>
    </w:p>
    <w:p w14:paraId="1A0432C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drawing>
          <wp:inline distT="0" distB="0" distL="114300" distR="114300">
            <wp:extent cx="4754245" cy="3550920"/>
            <wp:effectExtent l="0" t="0" r="6350" b="635"/>
            <wp:docPr id="223"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91"/>
                    <pic:cNvPicPr>
                      <a:picLocks noChangeAspect="1"/>
                    </pic:cNvPicPr>
                  </pic:nvPicPr>
                  <pic:blipFill>
                    <a:blip r:embed="rId129"/>
                    <a:srcRect l="1840" t="2530" r="1457" b="2145"/>
                    <a:stretch>
                      <a:fillRect/>
                    </a:stretch>
                  </pic:blipFill>
                  <pic:spPr>
                    <a:xfrm>
                      <a:off x="0" y="0"/>
                      <a:ext cx="4754245" cy="3550920"/>
                    </a:xfrm>
                    <a:prstGeom prst="rect">
                      <a:avLst/>
                    </a:prstGeom>
                    <a:noFill/>
                    <a:ln>
                      <a:noFill/>
                    </a:ln>
                  </pic:spPr>
                </pic:pic>
              </a:graphicData>
            </a:graphic>
          </wp:inline>
        </w:drawing>
      </w:r>
    </w:p>
    <w:p w14:paraId="2D3C5531">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74" w:name="_Toc10803"/>
      <w:r>
        <w:rPr>
          <w:rFonts w:hint="eastAsia" w:ascii="宋体" w:hAnsi="宋体" w:eastAsia="宋体" w:cs="宋体"/>
          <w:sz w:val="28"/>
          <w:szCs w:val="28"/>
          <w:lang w:val="en-US" w:eastAsia="zh-CN"/>
        </w:rPr>
        <w:t>修改密码</w:t>
      </w:r>
      <w:bookmarkEnd w:id="74"/>
    </w:p>
    <w:p w14:paraId="2CE641F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通过验证原密码的方式修改当前用户登录密码。</w:t>
      </w:r>
    </w:p>
    <w:p w14:paraId="4F2D3B0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drawing>
          <wp:inline distT="0" distB="0" distL="114300" distR="114300">
            <wp:extent cx="4728210" cy="3546475"/>
            <wp:effectExtent l="0" t="0" r="0" b="5080"/>
            <wp:docPr id="224"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92"/>
                    <pic:cNvPicPr>
                      <a:picLocks noChangeAspect="1"/>
                    </pic:cNvPicPr>
                  </pic:nvPicPr>
                  <pic:blipFill>
                    <a:blip r:embed="rId130"/>
                    <a:srcRect l="1543" t="2037" r="1483" b="1957"/>
                    <a:stretch>
                      <a:fillRect/>
                    </a:stretch>
                  </pic:blipFill>
                  <pic:spPr>
                    <a:xfrm>
                      <a:off x="0" y="0"/>
                      <a:ext cx="4728210" cy="3546475"/>
                    </a:xfrm>
                    <a:prstGeom prst="rect">
                      <a:avLst/>
                    </a:prstGeom>
                    <a:noFill/>
                    <a:ln>
                      <a:noFill/>
                    </a:ln>
                  </pic:spPr>
                </pic:pic>
              </a:graphicData>
            </a:graphic>
          </wp:inline>
        </w:drawing>
      </w:r>
    </w:p>
    <w:p w14:paraId="099550D9">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75" w:name="_Toc2486"/>
      <w:r>
        <w:rPr>
          <w:rFonts w:hint="eastAsia" w:ascii="宋体" w:hAnsi="宋体" w:eastAsia="宋体" w:cs="宋体"/>
          <w:sz w:val="28"/>
          <w:szCs w:val="28"/>
          <w:lang w:val="en-US" w:eastAsia="zh-CN"/>
        </w:rPr>
        <w:t>监控剪贴板</w:t>
      </w:r>
      <w:bookmarkEnd w:id="75"/>
    </w:p>
    <w:p w14:paraId="675E051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剪贴板监控开关，默认不开启。</w:t>
      </w:r>
    </w:p>
    <w:p w14:paraId="6053E5A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drawing>
          <wp:inline distT="0" distB="0" distL="114300" distR="114300">
            <wp:extent cx="4732655" cy="3336290"/>
            <wp:effectExtent l="0" t="0" r="6350" b="10160"/>
            <wp:docPr id="225"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93"/>
                    <pic:cNvPicPr>
                      <a:picLocks noChangeAspect="1"/>
                    </pic:cNvPicPr>
                  </pic:nvPicPr>
                  <pic:blipFill>
                    <a:blip r:embed="rId131"/>
                    <a:srcRect l="1559" t="1869" r="1693" b="2164"/>
                    <a:stretch>
                      <a:fillRect/>
                    </a:stretch>
                  </pic:blipFill>
                  <pic:spPr>
                    <a:xfrm>
                      <a:off x="0" y="0"/>
                      <a:ext cx="4732655" cy="3336290"/>
                    </a:xfrm>
                    <a:prstGeom prst="rect">
                      <a:avLst/>
                    </a:prstGeom>
                    <a:noFill/>
                    <a:ln>
                      <a:noFill/>
                    </a:ln>
                  </pic:spPr>
                </pic:pic>
              </a:graphicData>
            </a:graphic>
          </wp:inline>
        </w:drawing>
      </w:r>
    </w:p>
    <w:p w14:paraId="508ACA16">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76" w:name="_Toc13063"/>
      <w:r>
        <w:rPr>
          <w:rFonts w:hint="eastAsia" w:ascii="宋体" w:hAnsi="宋体" w:eastAsia="宋体" w:cs="宋体"/>
          <w:sz w:val="28"/>
          <w:szCs w:val="28"/>
          <w:lang w:val="en-US" w:eastAsia="zh-CN"/>
        </w:rPr>
        <w:t>系统公告</w:t>
      </w:r>
      <w:bookmarkEnd w:id="76"/>
    </w:p>
    <w:p w14:paraId="449182D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包含重点监控标的弹窗、系统公告两部分。</w:t>
      </w:r>
    </w:p>
    <w:p w14:paraId="6A0AE4F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lang w:val="en-US" w:eastAsia="zh-CN"/>
        </w:rPr>
      </w:pPr>
      <w:r>
        <w:rPr>
          <w:rFonts w:hint="eastAsia" w:ascii="宋体" w:hAnsi="宋体" w:eastAsia="宋体" w:cs="宋体"/>
        </w:rPr>
        <w:drawing>
          <wp:inline distT="0" distB="0" distL="114300" distR="114300">
            <wp:extent cx="4608830" cy="3463925"/>
            <wp:effectExtent l="0" t="0" r="635" b="1270"/>
            <wp:docPr id="226"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94"/>
                    <pic:cNvPicPr>
                      <a:picLocks noChangeAspect="1"/>
                    </pic:cNvPicPr>
                  </pic:nvPicPr>
                  <pic:blipFill>
                    <a:blip r:embed="rId132"/>
                    <a:srcRect l="1517" t="1919" r="1504" b="1886"/>
                    <a:stretch>
                      <a:fillRect/>
                    </a:stretch>
                  </pic:blipFill>
                  <pic:spPr>
                    <a:xfrm>
                      <a:off x="0" y="0"/>
                      <a:ext cx="4608830" cy="3463925"/>
                    </a:xfrm>
                    <a:prstGeom prst="rect">
                      <a:avLst/>
                    </a:prstGeom>
                    <a:noFill/>
                    <a:ln>
                      <a:noFill/>
                    </a:ln>
                  </pic:spPr>
                </pic:pic>
              </a:graphicData>
            </a:graphic>
          </wp:inline>
        </w:drawing>
      </w:r>
    </w:p>
    <w:p w14:paraId="03202F4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lang w:val="en-US" w:eastAsia="zh-CN"/>
        </w:rPr>
      </w:pPr>
    </w:p>
    <w:p w14:paraId="5F0A9EDC">
      <w:pPr>
        <w:pStyle w:val="2"/>
        <w:keepNext/>
        <w:keepLines/>
        <w:pageBreakBefore w:val="0"/>
        <w:widowControl w:val="0"/>
        <w:numPr>
          <w:ilvl w:val="0"/>
          <w:numId w:val="2"/>
        </w:numPr>
        <w:kinsoku/>
        <w:wordWrap/>
        <w:overflowPunct/>
        <w:topLinePunct w:val="0"/>
        <w:autoSpaceDE/>
        <w:autoSpaceDN/>
        <w:bidi w:val="0"/>
        <w:adjustRightInd/>
        <w:snapToGrid/>
        <w:spacing w:before="240" w:after="240" w:line="240" w:lineRule="auto"/>
        <w:ind w:left="425" w:leftChars="0" w:hanging="425" w:firstLineChars="0"/>
        <w:textAlignment w:val="auto"/>
        <w:rPr>
          <w:rFonts w:hint="eastAsia" w:ascii="宋体" w:hAnsi="宋体" w:eastAsia="宋体" w:cs="宋体"/>
          <w:b/>
          <w:bCs w:val="0"/>
          <w:sz w:val="30"/>
          <w:szCs w:val="30"/>
          <w:lang w:val="en-US" w:eastAsia="zh-CN"/>
        </w:rPr>
      </w:pPr>
      <w:bookmarkStart w:id="77" w:name="_Toc24956"/>
      <w:r>
        <w:rPr>
          <w:rFonts w:hint="eastAsia" w:ascii="宋体" w:hAnsi="宋体" w:eastAsia="宋体" w:cs="宋体"/>
          <w:b/>
          <w:bCs w:val="0"/>
          <w:sz w:val="30"/>
          <w:szCs w:val="30"/>
          <w:lang w:val="en-US" w:eastAsia="zh-CN"/>
        </w:rPr>
        <w:t>下载中心</w:t>
      </w:r>
      <w:bookmarkEnd w:id="77"/>
    </w:p>
    <w:p w14:paraId="2BDF98C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lang w:val="en-US" w:eastAsia="zh-CN"/>
        </w:rPr>
      </w:pPr>
      <w:r>
        <w:rPr>
          <w:rFonts w:hint="eastAsia" w:ascii="宋体" w:hAnsi="宋体" w:eastAsia="宋体" w:cs="宋体"/>
          <w:lang w:val="en-US" w:eastAsia="zh-CN"/>
        </w:rPr>
        <w:t>展示当日下载文件列表，支持按文件类型和状态进行筛选。</w:t>
      </w:r>
    </w:p>
    <w:p w14:paraId="4F94E842">
      <w:pPr>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lang w:val="en-US" w:eastAsia="zh-CN"/>
        </w:rPr>
      </w:pPr>
      <w:r>
        <w:rPr>
          <w:rFonts w:hint="eastAsia" w:ascii="宋体" w:hAnsi="宋体" w:eastAsia="宋体" w:cs="宋体"/>
        </w:rPr>
        <w:drawing>
          <wp:inline distT="0" distB="0" distL="114300" distR="114300">
            <wp:extent cx="4735830" cy="2707005"/>
            <wp:effectExtent l="0" t="0" r="3175" b="2540"/>
            <wp:docPr id="227"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95"/>
                    <pic:cNvPicPr>
                      <a:picLocks noChangeAspect="1"/>
                    </pic:cNvPicPr>
                  </pic:nvPicPr>
                  <pic:blipFill>
                    <a:blip r:embed="rId133"/>
                    <a:srcRect l="1378" t="2184" r="1488" b="1944"/>
                    <a:stretch>
                      <a:fillRect/>
                    </a:stretch>
                  </pic:blipFill>
                  <pic:spPr>
                    <a:xfrm>
                      <a:off x="0" y="0"/>
                      <a:ext cx="4735830" cy="2707005"/>
                    </a:xfrm>
                    <a:prstGeom prst="rect">
                      <a:avLst/>
                    </a:prstGeom>
                    <a:noFill/>
                    <a:ln>
                      <a:noFill/>
                    </a:ln>
                  </pic:spPr>
                </pic:pic>
              </a:graphicData>
            </a:graphic>
          </wp:inline>
        </w:drawing>
      </w:r>
    </w:p>
    <w:sectPr>
      <w:footerReference r:id="rId6"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FFA37">
    <w:pPr>
      <w:pStyle w:val="1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EEDD81">
                          <w:pPr>
                            <w:pStyle w:val="1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0CEEDD81">
                    <w:pPr>
                      <w:pStyle w:val="13"/>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E7AE5">
    <w:pPr>
      <w:pStyle w:val="13"/>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79AEC7">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3479AEC7">
                    <w:pPr>
                      <w:pStyle w:val="13"/>
                    </w:pPr>
                    <w:r>
                      <w:fldChar w:fldCharType="begin"/>
                    </w:r>
                    <w:r>
                      <w:instrText xml:space="preserve"> PAGE  \* MERGEFORMAT </w:instrText>
                    </w:r>
                    <w:r>
                      <w:fldChar w:fldCharType="separate"/>
                    </w:r>
                    <w:r>
                      <w:t>2</w:t>
                    </w:r>
                    <w:r>
                      <w:fldChar w:fldCharType="end"/>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701AC0">
                          <w:pPr>
                            <w:pStyle w:val="1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5B701AC0">
                    <w:pPr>
                      <w:pStyle w:val="13"/>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60B19">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C39350">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56C39350">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0BFA6">
    <w:pPr>
      <w:pStyle w:val="14"/>
      <w:jc w:val="right"/>
      <w:rPr>
        <w:rFonts w:hint="eastAsia" w:ascii="宋体" w:hAnsi="宋体" w:eastAsia="宋体" w:cs="宋体"/>
        <w:lang w:val="en-US" w:eastAsia="zh-CN"/>
      </w:rPr>
    </w:pPr>
    <w:r>
      <w:rPr>
        <w:rFonts w:hint="eastAsia" w:ascii="宋体" w:hAnsi="宋体" w:eastAsia="宋体" w:cs="宋体"/>
        <w:color w:val="000000"/>
        <w:spacing w:val="0"/>
        <w:sz w:val="18"/>
        <w:lang w:val="en-US" w:eastAsia="zh-CN"/>
      </w:rPr>
      <w:t>华泰期货MATIC交易终端</w:t>
    </w:r>
    <w:r>
      <w:rPr>
        <w:rFonts w:hint="eastAsia" w:ascii="宋体" w:hAnsi="宋体" w:eastAsia="宋体" w:cs="宋体"/>
        <w:color w:val="000000"/>
        <w:spacing w:val="0"/>
        <w:sz w:val="18"/>
      </w:rPr>
      <w:t>-用户使用</w:t>
    </w:r>
    <w:r>
      <w:rPr>
        <w:rFonts w:hint="eastAsia" w:ascii="宋体" w:hAnsi="宋体" w:eastAsia="宋体" w:cs="宋体"/>
        <w:lang w:val="en-US" w:eastAsia="zh-CN"/>
      </w:rPr>
      <w:t>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061B17"/>
    <w:multiLevelType w:val="singleLevel"/>
    <w:tmpl w:val="92061B17"/>
    <w:lvl w:ilvl="0" w:tentative="0">
      <w:start w:val="1"/>
      <w:numFmt w:val="decimal"/>
      <w:suff w:val="nothing"/>
      <w:lvlText w:val="%1、"/>
      <w:lvlJc w:val="left"/>
    </w:lvl>
  </w:abstractNum>
  <w:abstractNum w:abstractNumId="1">
    <w:nsid w:val="A732792B"/>
    <w:multiLevelType w:val="singleLevel"/>
    <w:tmpl w:val="A732792B"/>
    <w:lvl w:ilvl="0" w:tentative="0">
      <w:start w:val="1"/>
      <w:numFmt w:val="decimal"/>
      <w:suff w:val="nothing"/>
      <w:lvlText w:val="%1、"/>
      <w:lvlJc w:val="left"/>
    </w:lvl>
  </w:abstractNum>
  <w:abstractNum w:abstractNumId="2">
    <w:nsid w:val="AD7CE40E"/>
    <w:multiLevelType w:val="singleLevel"/>
    <w:tmpl w:val="AD7CE40E"/>
    <w:lvl w:ilvl="0" w:tentative="0">
      <w:start w:val="2"/>
      <w:numFmt w:val="decimal"/>
      <w:suff w:val="space"/>
      <w:lvlText w:val="%1."/>
      <w:lvlJc w:val="left"/>
    </w:lvl>
  </w:abstractNum>
  <w:abstractNum w:abstractNumId="3">
    <w:nsid w:val="B44622B5"/>
    <w:multiLevelType w:val="singleLevel"/>
    <w:tmpl w:val="B44622B5"/>
    <w:lvl w:ilvl="0" w:tentative="0">
      <w:start w:val="1"/>
      <w:numFmt w:val="decimal"/>
      <w:suff w:val="nothing"/>
      <w:lvlText w:val="（%1）"/>
      <w:lvlJc w:val="left"/>
    </w:lvl>
  </w:abstractNum>
  <w:abstractNum w:abstractNumId="4">
    <w:nsid w:val="BAA2B0BA"/>
    <w:multiLevelType w:val="singleLevel"/>
    <w:tmpl w:val="BAA2B0BA"/>
    <w:lvl w:ilvl="0" w:tentative="0">
      <w:start w:val="1"/>
      <w:numFmt w:val="decimal"/>
      <w:suff w:val="space"/>
      <w:lvlText w:val="%1."/>
      <w:lvlJc w:val="left"/>
    </w:lvl>
  </w:abstractNum>
  <w:abstractNum w:abstractNumId="5">
    <w:nsid w:val="D0D87847"/>
    <w:multiLevelType w:val="singleLevel"/>
    <w:tmpl w:val="D0D87847"/>
    <w:lvl w:ilvl="0" w:tentative="0">
      <w:start w:val="1"/>
      <w:numFmt w:val="decimal"/>
      <w:suff w:val="nothing"/>
      <w:lvlText w:val="（%1）"/>
      <w:lvlJc w:val="left"/>
    </w:lvl>
  </w:abstractNum>
  <w:abstractNum w:abstractNumId="6">
    <w:nsid w:val="DE728204"/>
    <w:multiLevelType w:val="singleLevel"/>
    <w:tmpl w:val="DE728204"/>
    <w:lvl w:ilvl="0" w:tentative="0">
      <w:start w:val="1"/>
      <w:numFmt w:val="decimal"/>
      <w:suff w:val="nothing"/>
      <w:lvlText w:val="（%1）"/>
      <w:lvlJc w:val="left"/>
    </w:lvl>
  </w:abstractNum>
  <w:abstractNum w:abstractNumId="7">
    <w:nsid w:val="F6FA6621"/>
    <w:multiLevelType w:val="singleLevel"/>
    <w:tmpl w:val="F6FA6621"/>
    <w:lvl w:ilvl="0" w:tentative="0">
      <w:start w:val="1"/>
      <w:numFmt w:val="decimal"/>
      <w:suff w:val="nothing"/>
      <w:lvlText w:val="%1、"/>
      <w:lvlJc w:val="left"/>
    </w:lvl>
  </w:abstractNum>
  <w:abstractNum w:abstractNumId="8">
    <w:nsid w:val="F7FCAE92"/>
    <w:multiLevelType w:val="multilevel"/>
    <w:tmpl w:val="F7FCAE92"/>
    <w:lvl w:ilvl="0" w:tentative="0">
      <w:start w:val="1"/>
      <w:numFmt w:val="decimal"/>
      <w:suff w:val="nothing"/>
      <w:lvlText w:val="%1."/>
      <w:lvlJc w:val="left"/>
      <w:pPr>
        <w:ind w:left="425" w:hanging="425"/>
      </w:pPr>
      <w:rPr>
        <w:rFonts w:hint="default"/>
      </w:rPr>
    </w:lvl>
    <w:lvl w:ilvl="1" w:tentative="0">
      <w:start w:val="1"/>
      <w:numFmt w:val="decimal"/>
      <w:suff w:val="nothing"/>
      <w:lvlText w:val="%1.%2."/>
      <w:lvlJc w:val="left"/>
      <w:pPr>
        <w:ind w:left="567" w:hanging="567"/>
      </w:pPr>
      <w:rPr>
        <w:rFonts w:hint="default"/>
      </w:rPr>
    </w:lvl>
    <w:lvl w:ilvl="2" w:tentative="0">
      <w:start w:val="1"/>
      <w:numFmt w:val="decimal"/>
      <w:suff w:val="nothing"/>
      <w:lvlText w:val="%1.%2.%3."/>
      <w:lvlJc w:val="left"/>
      <w:pPr>
        <w:ind w:left="709" w:hanging="709"/>
      </w:pPr>
      <w:rPr>
        <w:rFonts w:hint="default" w:ascii="宋体" w:hAnsi="宋体" w:eastAsia="宋体" w:cstheme="minorEastAsia"/>
        <w:sz w:val="24"/>
        <w:szCs w:val="24"/>
      </w:rPr>
    </w:lvl>
    <w:lvl w:ilvl="3" w:tentative="0">
      <w:start w:val="1"/>
      <w:numFmt w:val="decimal"/>
      <w:suff w:val="nothing"/>
      <w:lvlText w:val="%1.%2.%3.%4."/>
      <w:lvlJc w:val="left"/>
      <w:pPr>
        <w:ind w:left="850" w:hanging="850"/>
      </w:pPr>
      <w:rPr>
        <w:rFonts w:hint="default" w:ascii="宋体" w:hAnsi="宋体" w:eastAsia="宋体" w:cstheme="minorEastAsia"/>
        <w:sz w:val="24"/>
        <w:szCs w:val="24"/>
      </w:rPr>
    </w:lvl>
    <w:lvl w:ilvl="4" w:tentative="0">
      <w:start w:val="1"/>
      <w:numFmt w:val="decimal"/>
      <w:suff w:val="nothing"/>
      <w:lvlText w:val="%1.%2.%3.%4.%5."/>
      <w:lvlJc w:val="left"/>
      <w:pPr>
        <w:ind w:left="991" w:hanging="991"/>
      </w:pPr>
      <w:rPr>
        <w:rFonts w:hint="default" w:ascii="宋体" w:hAnsi="宋体" w:eastAsia="宋体" w:cs="宋体"/>
        <w:sz w:val="24"/>
        <w:szCs w:val="24"/>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12CA7C08"/>
    <w:multiLevelType w:val="singleLevel"/>
    <w:tmpl w:val="12CA7C08"/>
    <w:lvl w:ilvl="0" w:tentative="0">
      <w:start w:val="1"/>
      <w:numFmt w:val="decimal"/>
      <w:lvlText w:val="%1."/>
      <w:lvlJc w:val="left"/>
      <w:pPr>
        <w:tabs>
          <w:tab w:val="left" w:pos="312"/>
        </w:tabs>
      </w:pPr>
    </w:lvl>
  </w:abstractNum>
  <w:abstractNum w:abstractNumId="10">
    <w:nsid w:val="167E2BD3"/>
    <w:multiLevelType w:val="singleLevel"/>
    <w:tmpl w:val="167E2BD3"/>
    <w:lvl w:ilvl="0" w:tentative="0">
      <w:start w:val="1"/>
      <w:numFmt w:val="decimal"/>
      <w:suff w:val="nothing"/>
      <w:lvlText w:val="（%1）"/>
      <w:lvlJc w:val="left"/>
    </w:lvl>
  </w:abstractNum>
  <w:abstractNum w:abstractNumId="11">
    <w:nsid w:val="2E86A0E1"/>
    <w:multiLevelType w:val="singleLevel"/>
    <w:tmpl w:val="2E86A0E1"/>
    <w:lvl w:ilvl="0" w:tentative="0">
      <w:start w:val="1"/>
      <w:numFmt w:val="decimal"/>
      <w:suff w:val="nothing"/>
      <w:lvlText w:val="（%1）"/>
      <w:lvlJc w:val="left"/>
    </w:lvl>
  </w:abstractNum>
  <w:abstractNum w:abstractNumId="12">
    <w:nsid w:val="30E96A9C"/>
    <w:multiLevelType w:val="singleLevel"/>
    <w:tmpl w:val="30E96A9C"/>
    <w:lvl w:ilvl="0" w:tentative="0">
      <w:start w:val="1"/>
      <w:numFmt w:val="decimal"/>
      <w:suff w:val="nothing"/>
      <w:lvlText w:val="（%1）"/>
      <w:lvlJc w:val="left"/>
    </w:lvl>
  </w:abstractNum>
  <w:abstractNum w:abstractNumId="13">
    <w:nsid w:val="3310BC38"/>
    <w:multiLevelType w:val="singleLevel"/>
    <w:tmpl w:val="3310BC38"/>
    <w:lvl w:ilvl="0" w:tentative="0">
      <w:start w:val="1"/>
      <w:numFmt w:val="decimal"/>
      <w:suff w:val="nothing"/>
      <w:lvlText w:val="（%1）"/>
      <w:lvlJc w:val="left"/>
    </w:lvl>
  </w:abstractNum>
  <w:abstractNum w:abstractNumId="14">
    <w:nsid w:val="4789CEB0"/>
    <w:multiLevelType w:val="multilevel"/>
    <w:tmpl w:val="4789CEB0"/>
    <w:lvl w:ilvl="0" w:tentative="0">
      <w:start w:val="1"/>
      <w:numFmt w:val="decimal"/>
      <w:suff w:val="nothing"/>
      <w:lvlText w:val="%1."/>
      <w:lvlJc w:val="left"/>
      <w:pPr>
        <w:ind w:left="425" w:hanging="425"/>
      </w:pPr>
      <w:rPr>
        <w:rFonts w:hint="default"/>
      </w:rPr>
    </w:lvl>
    <w:lvl w:ilvl="1" w:tentative="0">
      <w:start w:val="1"/>
      <w:numFmt w:val="decimal"/>
      <w:suff w:val="nothing"/>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suff w:val="nothing"/>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5">
    <w:nsid w:val="53F86FB2"/>
    <w:multiLevelType w:val="singleLevel"/>
    <w:tmpl w:val="53F86FB2"/>
    <w:lvl w:ilvl="0" w:tentative="0">
      <w:start w:val="1"/>
      <w:numFmt w:val="decimal"/>
      <w:suff w:val="nothing"/>
      <w:lvlText w:val="（%1）"/>
      <w:lvlJc w:val="left"/>
    </w:lvl>
  </w:abstractNum>
  <w:abstractNum w:abstractNumId="16">
    <w:nsid w:val="54B48550"/>
    <w:multiLevelType w:val="singleLevel"/>
    <w:tmpl w:val="54B48550"/>
    <w:lvl w:ilvl="0" w:tentative="0">
      <w:start w:val="1"/>
      <w:numFmt w:val="decimal"/>
      <w:suff w:val="nothing"/>
      <w:lvlText w:val="（%1）"/>
      <w:lvlJc w:val="left"/>
    </w:lvl>
  </w:abstractNum>
  <w:abstractNum w:abstractNumId="17">
    <w:nsid w:val="79F1DD25"/>
    <w:multiLevelType w:val="singleLevel"/>
    <w:tmpl w:val="79F1DD25"/>
    <w:lvl w:ilvl="0" w:tentative="0">
      <w:start w:val="1"/>
      <w:numFmt w:val="decimal"/>
      <w:lvlText w:val="%1."/>
      <w:lvlJc w:val="left"/>
      <w:pPr>
        <w:tabs>
          <w:tab w:val="left" w:pos="312"/>
        </w:tabs>
      </w:pPr>
    </w:lvl>
  </w:abstractNum>
  <w:abstractNum w:abstractNumId="18">
    <w:nsid w:val="7CAA2BCA"/>
    <w:multiLevelType w:val="singleLevel"/>
    <w:tmpl w:val="7CAA2BCA"/>
    <w:lvl w:ilvl="0" w:tentative="0">
      <w:start w:val="1"/>
      <w:numFmt w:val="decimal"/>
      <w:suff w:val="nothing"/>
      <w:lvlText w:val="（%1）"/>
      <w:lvlJc w:val="left"/>
    </w:lvl>
  </w:abstractNum>
  <w:num w:numId="1">
    <w:abstractNumId w:val="14"/>
  </w:num>
  <w:num w:numId="2">
    <w:abstractNumId w:val="8"/>
  </w:num>
  <w:num w:numId="3">
    <w:abstractNumId w:val="5"/>
  </w:num>
  <w:num w:numId="4">
    <w:abstractNumId w:val="15"/>
  </w:num>
  <w:num w:numId="5">
    <w:abstractNumId w:val="12"/>
  </w:num>
  <w:num w:numId="6">
    <w:abstractNumId w:val="7"/>
  </w:num>
  <w:num w:numId="7">
    <w:abstractNumId w:val="1"/>
  </w:num>
  <w:num w:numId="8">
    <w:abstractNumId w:val="0"/>
  </w:num>
  <w:num w:numId="9">
    <w:abstractNumId w:val="13"/>
  </w:num>
  <w:num w:numId="10">
    <w:abstractNumId w:val="4"/>
  </w:num>
  <w:num w:numId="11">
    <w:abstractNumId w:val="2"/>
  </w:num>
  <w:num w:numId="12">
    <w:abstractNumId w:val="6"/>
  </w:num>
  <w:num w:numId="13">
    <w:abstractNumId w:val="18"/>
  </w:num>
  <w:num w:numId="14">
    <w:abstractNumId w:val="16"/>
  </w:num>
  <w:num w:numId="15">
    <w:abstractNumId w:val="11"/>
  </w:num>
  <w:num w:numId="16">
    <w:abstractNumId w:val="3"/>
  </w:num>
  <w:num w:numId="17">
    <w:abstractNumId w:val="10"/>
  </w:num>
  <w:num w:numId="18">
    <w:abstractNumId w:val="9"/>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yNWI2MzMyMDk0N2NmNjRhY2Q2Zjk3NGZjNDg0NWQifQ=="/>
  </w:docVars>
  <w:rsids>
    <w:rsidRoot w:val="750F4CE2"/>
    <w:rsid w:val="00894880"/>
    <w:rsid w:val="011C648D"/>
    <w:rsid w:val="01626374"/>
    <w:rsid w:val="01894934"/>
    <w:rsid w:val="01AD7EA4"/>
    <w:rsid w:val="01E231B8"/>
    <w:rsid w:val="020016E9"/>
    <w:rsid w:val="0200793B"/>
    <w:rsid w:val="0233386D"/>
    <w:rsid w:val="04077A46"/>
    <w:rsid w:val="04477AA3"/>
    <w:rsid w:val="047F0C96"/>
    <w:rsid w:val="04A24CDA"/>
    <w:rsid w:val="051511A8"/>
    <w:rsid w:val="05323C89"/>
    <w:rsid w:val="05396922"/>
    <w:rsid w:val="056F2E0E"/>
    <w:rsid w:val="061B2209"/>
    <w:rsid w:val="06EF64EF"/>
    <w:rsid w:val="0746218D"/>
    <w:rsid w:val="081F25E1"/>
    <w:rsid w:val="089E3A0A"/>
    <w:rsid w:val="0935611C"/>
    <w:rsid w:val="09B2776D"/>
    <w:rsid w:val="09BA2AC6"/>
    <w:rsid w:val="0B364F7A"/>
    <w:rsid w:val="0B872A8F"/>
    <w:rsid w:val="0BA13F3D"/>
    <w:rsid w:val="0BC25BFF"/>
    <w:rsid w:val="0C281F69"/>
    <w:rsid w:val="0C5E6843"/>
    <w:rsid w:val="0CC94EBC"/>
    <w:rsid w:val="0CDC5E82"/>
    <w:rsid w:val="0CE4731D"/>
    <w:rsid w:val="0D0227BA"/>
    <w:rsid w:val="0DD04666"/>
    <w:rsid w:val="0E625CB6"/>
    <w:rsid w:val="0EAD177A"/>
    <w:rsid w:val="0EB02976"/>
    <w:rsid w:val="0EEE649D"/>
    <w:rsid w:val="0EF0305B"/>
    <w:rsid w:val="0FB35FED"/>
    <w:rsid w:val="0FC14BAE"/>
    <w:rsid w:val="0FDC047D"/>
    <w:rsid w:val="0FDE750E"/>
    <w:rsid w:val="100219E7"/>
    <w:rsid w:val="100A0195"/>
    <w:rsid w:val="101920E6"/>
    <w:rsid w:val="10DC23A3"/>
    <w:rsid w:val="10EB78F5"/>
    <w:rsid w:val="11407D54"/>
    <w:rsid w:val="11FC5119"/>
    <w:rsid w:val="126B7799"/>
    <w:rsid w:val="12B156D7"/>
    <w:rsid w:val="12CA1FCB"/>
    <w:rsid w:val="13224277"/>
    <w:rsid w:val="136043D7"/>
    <w:rsid w:val="13FC109B"/>
    <w:rsid w:val="142B7C44"/>
    <w:rsid w:val="149A3C1F"/>
    <w:rsid w:val="14C52A4A"/>
    <w:rsid w:val="154F351B"/>
    <w:rsid w:val="15535E8C"/>
    <w:rsid w:val="15812E0C"/>
    <w:rsid w:val="158A5A42"/>
    <w:rsid w:val="15980E11"/>
    <w:rsid w:val="15B07E8C"/>
    <w:rsid w:val="160E7877"/>
    <w:rsid w:val="16113A6D"/>
    <w:rsid w:val="16774218"/>
    <w:rsid w:val="16B41B7E"/>
    <w:rsid w:val="16F731DA"/>
    <w:rsid w:val="17007B85"/>
    <w:rsid w:val="17280647"/>
    <w:rsid w:val="178845AC"/>
    <w:rsid w:val="18131D1F"/>
    <w:rsid w:val="181A30AD"/>
    <w:rsid w:val="185F480A"/>
    <w:rsid w:val="186A43BF"/>
    <w:rsid w:val="18954E2A"/>
    <w:rsid w:val="18966DFE"/>
    <w:rsid w:val="18ED10AA"/>
    <w:rsid w:val="19A02302"/>
    <w:rsid w:val="1A74457E"/>
    <w:rsid w:val="1B3E5305"/>
    <w:rsid w:val="1B412344"/>
    <w:rsid w:val="1B464EA3"/>
    <w:rsid w:val="1B5508A0"/>
    <w:rsid w:val="1BA62EAA"/>
    <w:rsid w:val="1BEA723A"/>
    <w:rsid w:val="1C077DEC"/>
    <w:rsid w:val="1C3242E6"/>
    <w:rsid w:val="1C3F7586"/>
    <w:rsid w:val="1CB3587E"/>
    <w:rsid w:val="1CE65C54"/>
    <w:rsid w:val="1D246635"/>
    <w:rsid w:val="1D5C5F16"/>
    <w:rsid w:val="1D874E6B"/>
    <w:rsid w:val="1DCA77EF"/>
    <w:rsid w:val="1DE33F41"/>
    <w:rsid w:val="1EB65C4B"/>
    <w:rsid w:val="1EED5B4D"/>
    <w:rsid w:val="1EFE61C4"/>
    <w:rsid w:val="1F2F3D0D"/>
    <w:rsid w:val="1F42509E"/>
    <w:rsid w:val="1F6D3CAF"/>
    <w:rsid w:val="20970344"/>
    <w:rsid w:val="20DB1848"/>
    <w:rsid w:val="2139508E"/>
    <w:rsid w:val="21535882"/>
    <w:rsid w:val="218B501C"/>
    <w:rsid w:val="22372D05"/>
    <w:rsid w:val="22393715"/>
    <w:rsid w:val="22916C36"/>
    <w:rsid w:val="2377069B"/>
    <w:rsid w:val="247826A7"/>
    <w:rsid w:val="24861ACA"/>
    <w:rsid w:val="248D349F"/>
    <w:rsid w:val="24912949"/>
    <w:rsid w:val="24AE06A4"/>
    <w:rsid w:val="25D32D3D"/>
    <w:rsid w:val="25E46AA9"/>
    <w:rsid w:val="26376C75"/>
    <w:rsid w:val="26930A80"/>
    <w:rsid w:val="27473793"/>
    <w:rsid w:val="2756664D"/>
    <w:rsid w:val="276D0E05"/>
    <w:rsid w:val="27E823ED"/>
    <w:rsid w:val="28190A2D"/>
    <w:rsid w:val="297C2C9D"/>
    <w:rsid w:val="2A4F3F4C"/>
    <w:rsid w:val="2AF3157A"/>
    <w:rsid w:val="2B004385"/>
    <w:rsid w:val="2BC91EAB"/>
    <w:rsid w:val="2BD31A92"/>
    <w:rsid w:val="2BFD4C22"/>
    <w:rsid w:val="2C153C28"/>
    <w:rsid w:val="2C1E1185"/>
    <w:rsid w:val="2C55425C"/>
    <w:rsid w:val="2C557E64"/>
    <w:rsid w:val="2C917D0E"/>
    <w:rsid w:val="2CB52F4D"/>
    <w:rsid w:val="2D1934DC"/>
    <w:rsid w:val="2D3C5444"/>
    <w:rsid w:val="2D686211"/>
    <w:rsid w:val="2DEA0F78"/>
    <w:rsid w:val="2DF43FF2"/>
    <w:rsid w:val="2DF814A5"/>
    <w:rsid w:val="2E307C0F"/>
    <w:rsid w:val="2E8C2CB2"/>
    <w:rsid w:val="2EE23DA1"/>
    <w:rsid w:val="2EEA0214"/>
    <w:rsid w:val="2EEB70FA"/>
    <w:rsid w:val="2F5A7538"/>
    <w:rsid w:val="2F963509"/>
    <w:rsid w:val="2FAA6FB7"/>
    <w:rsid w:val="2FFB572C"/>
    <w:rsid w:val="300C590B"/>
    <w:rsid w:val="30222A1F"/>
    <w:rsid w:val="31CC701F"/>
    <w:rsid w:val="31E85B72"/>
    <w:rsid w:val="31E87583"/>
    <w:rsid w:val="32053A0B"/>
    <w:rsid w:val="320E382B"/>
    <w:rsid w:val="32126FFE"/>
    <w:rsid w:val="32144BB9"/>
    <w:rsid w:val="321626E0"/>
    <w:rsid w:val="32B15F03"/>
    <w:rsid w:val="32DD31FD"/>
    <w:rsid w:val="33662A43"/>
    <w:rsid w:val="338E62A6"/>
    <w:rsid w:val="34483CC8"/>
    <w:rsid w:val="345834F7"/>
    <w:rsid w:val="357925B1"/>
    <w:rsid w:val="35892D8A"/>
    <w:rsid w:val="35C9771B"/>
    <w:rsid w:val="36327824"/>
    <w:rsid w:val="364D4704"/>
    <w:rsid w:val="365B6913"/>
    <w:rsid w:val="36993DCA"/>
    <w:rsid w:val="36B9188B"/>
    <w:rsid w:val="36C25732"/>
    <w:rsid w:val="36D84407"/>
    <w:rsid w:val="36DF7127"/>
    <w:rsid w:val="37801D73"/>
    <w:rsid w:val="37843EA3"/>
    <w:rsid w:val="38EE2C43"/>
    <w:rsid w:val="39A405D1"/>
    <w:rsid w:val="39EB4452"/>
    <w:rsid w:val="39ED4E59"/>
    <w:rsid w:val="3A4F20D3"/>
    <w:rsid w:val="3AA6541B"/>
    <w:rsid w:val="3AC3743F"/>
    <w:rsid w:val="3B1E2BB4"/>
    <w:rsid w:val="3B4262F3"/>
    <w:rsid w:val="3B5166FD"/>
    <w:rsid w:val="3C161920"/>
    <w:rsid w:val="3C445419"/>
    <w:rsid w:val="3C84276D"/>
    <w:rsid w:val="3C8B5A78"/>
    <w:rsid w:val="3CB23005"/>
    <w:rsid w:val="3D485717"/>
    <w:rsid w:val="3D65276D"/>
    <w:rsid w:val="3E410AE4"/>
    <w:rsid w:val="40053DD9"/>
    <w:rsid w:val="405E1187"/>
    <w:rsid w:val="40C1415E"/>
    <w:rsid w:val="41526B64"/>
    <w:rsid w:val="42B7048F"/>
    <w:rsid w:val="435F5395"/>
    <w:rsid w:val="436B7354"/>
    <w:rsid w:val="43C95804"/>
    <w:rsid w:val="43E908BD"/>
    <w:rsid w:val="444035EC"/>
    <w:rsid w:val="445D3843"/>
    <w:rsid w:val="448750D5"/>
    <w:rsid w:val="45783CBB"/>
    <w:rsid w:val="45E5444B"/>
    <w:rsid w:val="45EF532E"/>
    <w:rsid w:val="46184CBD"/>
    <w:rsid w:val="466874E9"/>
    <w:rsid w:val="46F71DDA"/>
    <w:rsid w:val="4723347D"/>
    <w:rsid w:val="47321912"/>
    <w:rsid w:val="478163F5"/>
    <w:rsid w:val="47B5127A"/>
    <w:rsid w:val="47CB141F"/>
    <w:rsid w:val="47CD6F16"/>
    <w:rsid w:val="484F25B3"/>
    <w:rsid w:val="488A3088"/>
    <w:rsid w:val="48984880"/>
    <w:rsid w:val="48AE355E"/>
    <w:rsid w:val="49170DBF"/>
    <w:rsid w:val="49276DAF"/>
    <w:rsid w:val="4A5C4B6A"/>
    <w:rsid w:val="4A983369"/>
    <w:rsid w:val="4AE01685"/>
    <w:rsid w:val="4B5F6CE3"/>
    <w:rsid w:val="4BBC5FD6"/>
    <w:rsid w:val="4BBE3774"/>
    <w:rsid w:val="4BD765E4"/>
    <w:rsid w:val="4CB716E0"/>
    <w:rsid w:val="4CE756A8"/>
    <w:rsid w:val="4D463C5A"/>
    <w:rsid w:val="4D8E7176"/>
    <w:rsid w:val="4DC64B62"/>
    <w:rsid w:val="4E7A03FC"/>
    <w:rsid w:val="4E8963F8"/>
    <w:rsid w:val="4E9E2B87"/>
    <w:rsid w:val="4ED52926"/>
    <w:rsid w:val="4EE5084A"/>
    <w:rsid w:val="4F2117B1"/>
    <w:rsid w:val="4F371833"/>
    <w:rsid w:val="4F8A662E"/>
    <w:rsid w:val="50013B0C"/>
    <w:rsid w:val="50A8774B"/>
    <w:rsid w:val="51707E00"/>
    <w:rsid w:val="522E5D3A"/>
    <w:rsid w:val="52B84FC2"/>
    <w:rsid w:val="52C6300A"/>
    <w:rsid w:val="52F928BD"/>
    <w:rsid w:val="52FB7A88"/>
    <w:rsid w:val="53C848E0"/>
    <w:rsid w:val="53FD61D7"/>
    <w:rsid w:val="543C16DA"/>
    <w:rsid w:val="55094D64"/>
    <w:rsid w:val="55AA552D"/>
    <w:rsid w:val="56341561"/>
    <w:rsid w:val="563B05ED"/>
    <w:rsid w:val="564C33E3"/>
    <w:rsid w:val="56797CEA"/>
    <w:rsid w:val="567C6706"/>
    <w:rsid w:val="56C13C5E"/>
    <w:rsid w:val="57014E5D"/>
    <w:rsid w:val="57FE1F46"/>
    <w:rsid w:val="58267FF6"/>
    <w:rsid w:val="58B959EF"/>
    <w:rsid w:val="59604634"/>
    <w:rsid w:val="5A364E1D"/>
    <w:rsid w:val="5A512369"/>
    <w:rsid w:val="5A820986"/>
    <w:rsid w:val="5AB0697E"/>
    <w:rsid w:val="5B0F3458"/>
    <w:rsid w:val="5B1F1D55"/>
    <w:rsid w:val="5B2D6220"/>
    <w:rsid w:val="5BEE226D"/>
    <w:rsid w:val="5C115B42"/>
    <w:rsid w:val="5CC42BB4"/>
    <w:rsid w:val="5CDF4E5B"/>
    <w:rsid w:val="5CE84AF5"/>
    <w:rsid w:val="5D7E0072"/>
    <w:rsid w:val="5E063EF5"/>
    <w:rsid w:val="5E546A47"/>
    <w:rsid w:val="5E5E5C71"/>
    <w:rsid w:val="5E7A44C7"/>
    <w:rsid w:val="5ECB2508"/>
    <w:rsid w:val="5FB26F0A"/>
    <w:rsid w:val="5FC5466E"/>
    <w:rsid w:val="60495C2E"/>
    <w:rsid w:val="60614C15"/>
    <w:rsid w:val="61563D8A"/>
    <w:rsid w:val="617118C6"/>
    <w:rsid w:val="61E73951"/>
    <w:rsid w:val="62D87B9F"/>
    <w:rsid w:val="62F33D78"/>
    <w:rsid w:val="630A5099"/>
    <w:rsid w:val="637813ED"/>
    <w:rsid w:val="6400429E"/>
    <w:rsid w:val="641D3309"/>
    <w:rsid w:val="641F3099"/>
    <w:rsid w:val="64632CB3"/>
    <w:rsid w:val="64772F11"/>
    <w:rsid w:val="64903B4A"/>
    <w:rsid w:val="64C52DA3"/>
    <w:rsid w:val="64F23420"/>
    <w:rsid w:val="653E319A"/>
    <w:rsid w:val="653F0E11"/>
    <w:rsid w:val="65532D27"/>
    <w:rsid w:val="65561E5B"/>
    <w:rsid w:val="66702BA5"/>
    <w:rsid w:val="66C0263F"/>
    <w:rsid w:val="66E3632D"/>
    <w:rsid w:val="67362901"/>
    <w:rsid w:val="673F4CC4"/>
    <w:rsid w:val="67674868"/>
    <w:rsid w:val="67EB086B"/>
    <w:rsid w:val="68332DC4"/>
    <w:rsid w:val="68E16B46"/>
    <w:rsid w:val="69BE2664"/>
    <w:rsid w:val="69CF67F0"/>
    <w:rsid w:val="6B74714D"/>
    <w:rsid w:val="6B7F6714"/>
    <w:rsid w:val="6BF12397"/>
    <w:rsid w:val="6D653287"/>
    <w:rsid w:val="6EB42E26"/>
    <w:rsid w:val="6ECA1F29"/>
    <w:rsid w:val="6EF336C8"/>
    <w:rsid w:val="6F382929"/>
    <w:rsid w:val="6F3F2FDE"/>
    <w:rsid w:val="6FAA7397"/>
    <w:rsid w:val="6FD66B17"/>
    <w:rsid w:val="6FE872A8"/>
    <w:rsid w:val="70074C3C"/>
    <w:rsid w:val="700D50E9"/>
    <w:rsid w:val="716E4A51"/>
    <w:rsid w:val="71D945B4"/>
    <w:rsid w:val="71DB657E"/>
    <w:rsid w:val="729B5D0E"/>
    <w:rsid w:val="7425388F"/>
    <w:rsid w:val="74793E2D"/>
    <w:rsid w:val="74C2787E"/>
    <w:rsid w:val="750B33B4"/>
    <w:rsid w:val="750F4CE2"/>
    <w:rsid w:val="75976C5E"/>
    <w:rsid w:val="75F312DA"/>
    <w:rsid w:val="77191332"/>
    <w:rsid w:val="7750560B"/>
    <w:rsid w:val="77A01077"/>
    <w:rsid w:val="786324A7"/>
    <w:rsid w:val="789254BD"/>
    <w:rsid w:val="78B1153B"/>
    <w:rsid w:val="79A27982"/>
    <w:rsid w:val="7A406FE4"/>
    <w:rsid w:val="7B594FCC"/>
    <w:rsid w:val="7C0D03BB"/>
    <w:rsid w:val="7CD34AA3"/>
    <w:rsid w:val="7D3F7243"/>
    <w:rsid w:val="7DB3215D"/>
    <w:rsid w:val="7DB979D8"/>
    <w:rsid w:val="7DD722F0"/>
    <w:rsid w:val="7ED739A8"/>
    <w:rsid w:val="7EFB0FF1"/>
    <w:rsid w:val="7F7558C8"/>
    <w:rsid w:val="7F7B72FB"/>
    <w:rsid w:val="7F9B10FB"/>
    <w:rsid w:val="7FCB4C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25"/>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link w:val="24"/>
    <w:autoRedefine/>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autoRedefine/>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8">
    <w:name w:val="heading 7"/>
    <w:basedOn w:val="1"/>
    <w:next w:val="1"/>
    <w:autoRedefine/>
    <w:unhideWhenUsed/>
    <w:qFormat/>
    <w:uiPriority w:val="0"/>
    <w:pPr>
      <w:keepNext/>
      <w:keepLines/>
      <w:spacing w:before="240" w:beforeLines="0" w:beforeAutospacing="0" w:after="64" w:afterLines="0" w:afterAutospacing="0" w:line="317" w:lineRule="auto"/>
      <w:outlineLvl w:val="6"/>
    </w:pPr>
    <w:rPr>
      <w:b/>
      <w:sz w:val="24"/>
    </w:rPr>
  </w:style>
  <w:style w:type="paragraph" w:styleId="9">
    <w:name w:val="heading 8"/>
    <w:basedOn w:val="1"/>
    <w:next w:val="1"/>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character" w:default="1" w:styleId="21">
    <w:name w:val="Default Paragraph Font"/>
    <w:autoRedefine/>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10">
    <w:name w:val="toc 7"/>
    <w:basedOn w:val="1"/>
    <w:next w:val="1"/>
    <w:autoRedefine/>
    <w:qFormat/>
    <w:uiPriority w:val="0"/>
    <w:pPr>
      <w:ind w:left="2520" w:leftChars="1200"/>
    </w:pPr>
  </w:style>
  <w:style w:type="paragraph" w:styleId="11">
    <w:name w:val="toc 5"/>
    <w:basedOn w:val="1"/>
    <w:next w:val="1"/>
    <w:autoRedefine/>
    <w:qFormat/>
    <w:uiPriority w:val="0"/>
    <w:pPr>
      <w:ind w:left="1680" w:leftChars="800"/>
    </w:pPr>
  </w:style>
  <w:style w:type="paragraph" w:styleId="12">
    <w:name w:val="toc 3"/>
    <w:basedOn w:val="1"/>
    <w:next w:val="1"/>
    <w:autoRedefine/>
    <w:qFormat/>
    <w:uiPriority w:val="0"/>
    <w:pPr>
      <w:ind w:left="840" w:leftChars="400"/>
    </w:pPr>
  </w:style>
  <w:style w:type="paragraph" w:styleId="13">
    <w:name w:val="footer"/>
    <w:basedOn w:val="1"/>
    <w:autoRedefine/>
    <w:qFormat/>
    <w:uiPriority w:val="0"/>
    <w:pPr>
      <w:tabs>
        <w:tab w:val="center" w:pos="4153"/>
        <w:tab w:val="right" w:pos="8306"/>
      </w:tabs>
      <w:snapToGrid w:val="0"/>
      <w:jc w:val="left"/>
    </w:pPr>
    <w:rPr>
      <w:sz w:val="18"/>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autoRedefine/>
    <w:qFormat/>
    <w:uiPriority w:val="0"/>
  </w:style>
  <w:style w:type="paragraph" w:styleId="16">
    <w:name w:val="toc 4"/>
    <w:basedOn w:val="1"/>
    <w:next w:val="1"/>
    <w:autoRedefine/>
    <w:qFormat/>
    <w:uiPriority w:val="0"/>
    <w:pPr>
      <w:ind w:left="1260" w:leftChars="600"/>
    </w:pPr>
  </w:style>
  <w:style w:type="paragraph" w:styleId="17">
    <w:name w:val="toc 6"/>
    <w:basedOn w:val="1"/>
    <w:next w:val="1"/>
    <w:autoRedefine/>
    <w:qFormat/>
    <w:uiPriority w:val="0"/>
    <w:pPr>
      <w:ind w:left="2100" w:leftChars="1000"/>
    </w:pPr>
  </w:style>
  <w:style w:type="paragraph" w:styleId="18">
    <w:name w:val="toc 2"/>
    <w:basedOn w:val="1"/>
    <w:next w:val="1"/>
    <w:autoRedefine/>
    <w:qFormat/>
    <w:uiPriority w:val="0"/>
    <w:pPr>
      <w:ind w:left="420" w:leftChars="200"/>
    </w:p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autoRedefine/>
    <w:qFormat/>
    <w:uiPriority w:val="0"/>
    <w:rPr>
      <w:b/>
    </w:rPr>
  </w:style>
  <w:style w:type="character" w:styleId="23">
    <w:name w:val="Hyperlink"/>
    <w:basedOn w:val="21"/>
    <w:qFormat/>
    <w:uiPriority w:val="0"/>
    <w:rPr>
      <w:color w:val="0000FF"/>
      <w:u w:val="single"/>
    </w:rPr>
  </w:style>
  <w:style w:type="character" w:customStyle="1" w:styleId="24">
    <w:name w:val="标题 5 Char"/>
    <w:link w:val="6"/>
    <w:autoRedefine/>
    <w:qFormat/>
    <w:uiPriority w:val="0"/>
    <w:rPr>
      <w:b/>
      <w:sz w:val="28"/>
    </w:rPr>
  </w:style>
  <w:style w:type="character" w:customStyle="1" w:styleId="25">
    <w:name w:val="标题 4 Char"/>
    <w:link w:val="5"/>
    <w:autoRedefine/>
    <w:qFormat/>
    <w:uiPriority w:val="0"/>
    <w:rPr>
      <w:rFonts w:ascii="Arial" w:hAnsi="Arial" w:eastAsia="黑体"/>
      <w:b/>
      <w:sz w:val="28"/>
    </w:rPr>
  </w:style>
  <w:style w:type="paragraph" w:customStyle="1" w:styleId="26">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27">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28">
    <w:name w:val="WPSOffice手动目录 3"/>
    <w:autoRedefine/>
    <w:qFormat/>
    <w:uiPriority w:val="0"/>
    <w:pPr>
      <w:ind w:leftChars="400"/>
    </w:pPr>
    <w:rPr>
      <w:rFonts w:asciiTheme="minorHAnsi" w:hAnsiTheme="minorHAnsi" w:eastAsiaTheme="minorEastAsia" w:cstheme="minorBidi"/>
      <w:sz w:val="20"/>
      <w:szCs w:val="20"/>
    </w:rPr>
  </w:style>
  <w:style w:type="table" w:customStyle="1" w:styleId="29">
    <w:name w:val="Table Normal"/>
    <w:autoRedefine/>
    <w:semiHidden/>
    <w:unhideWhenUsed/>
    <w:qFormat/>
    <w:uiPriority w:val="2"/>
    <w:tblPr>
      <w:tblCellMar>
        <w:top w:w="0" w:type="dxa"/>
        <w:left w:w="0" w:type="dxa"/>
        <w:bottom w:w="0" w:type="dxa"/>
        <w:right w:w="0" w:type="dxa"/>
      </w:tblCellMar>
    </w:tblPr>
  </w:style>
  <w:style w:type="character" w:customStyle="1" w:styleId="30">
    <w:name w:val="content-right_2s-h4"/>
    <w:basedOn w:val="21"/>
    <w:qFormat/>
    <w:uiPriority w:val="0"/>
  </w:style>
  <w:style w:type="paragraph" w:styleId="31">
    <w:name w:val="List Paragraph"/>
    <w:basedOn w:val="1"/>
    <w:qFormat/>
    <w:uiPriority w:val="1"/>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jpe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3.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6" Type="http://schemas.openxmlformats.org/officeDocument/2006/relationships/fontTable" Target="fontTable.xml"/><Relationship Id="rId135" Type="http://schemas.openxmlformats.org/officeDocument/2006/relationships/numbering" Target="numbering.xml"/><Relationship Id="rId134" Type="http://schemas.openxmlformats.org/officeDocument/2006/relationships/customXml" Target="../customXml/item1.xml"/><Relationship Id="rId133" Type="http://schemas.openxmlformats.org/officeDocument/2006/relationships/image" Target="media/image126.png"/><Relationship Id="rId132" Type="http://schemas.openxmlformats.org/officeDocument/2006/relationships/image" Target="media/image125.png"/><Relationship Id="rId131" Type="http://schemas.openxmlformats.org/officeDocument/2006/relationships/image" Target="media/image124.png"/><Relationship Id="rId130" Type="http://schemas.openxmlformats.org/officeDocument/2006/relationships/image" Target="media/image123.png"/><Relationship Id="rId13" Type="http://schemas.openxmlformats.org/officeDocument/2006/relationships/image" Target="media/image6.png"/><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5.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4.png"/><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74</Pages>
  <Words>19129</Words>
  <Characters>20141</Characters>
  <Lines>0</Lines>
  <Paragraphs>0</Paragraphs>
  <TotalTime>175</TotalTime>
  <ScaleCrop>false</ScaleCrop>
  <LinksUpToDate>false</LinksUpToDate>
  <CharactersWithSpaces>20718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2023-08-11T01:24:00Z</dcterms:created>
  <dc:creator>程序猿小胡</dc:creator>
  <cp:lastModifiedBy>Leo</cp:lastModifiedBy>
  <dcterms:modified xsi:type="dcterms:W3CDTF">2024-09-25T06:37:04Z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65AD19177CB244E8BAD5DD26F16898B7_13</vt:lpwstr>
  </property>
</Properties>
</file>