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《</w:t>
      </w:r>
      <w:r>
        <w:rPr>
          <w:rFonts w:hint="eastAsia"/>
          <w:b/>
          <w:sz w:val="44"/>
          <w:szCs w:val="44"/>
        </w:rPr>
        <w:t>郑州商品交易所烧碱期货业务细则</w:t>
      </w:r>
      <w:r>
        <w:rPr>
          <w:rFonts w:hint="eastAsia"/>
          <w:b/>
          <w:sz w:val="44"/>
          <w:szCs w:val="44"/>
          <w:lang w:eastAsia="zh-CN"/>
        </w:rPr>
        <w:t>》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修订案</w:t>
      </w:r>
    </w:p>
    <w:p>
      <w:pPr>
        <w:ind w:firstLine="560" w:firstLineChars="200"/>
        <w:rPr>
          <w:rFonts w:hint="default" w:ascii="Times New Roman" w:hAnsi="Times New Roman" w:eastAsia="楷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（2024年10月8日郑州商品交易所第八届理事会第十八次会议审议通过，自</w:t>
      </w:r>
      <w:r>
        <w:rPr>
          <w:rFonts w:hint="eastAsia" w:eastAsia="楷体" w:cs="Times New Roman"/>
          <w:sz w:val="28"/>
          <w:szCs w:val="28"/>
          <w:lang w:val="en-US" w:eastAsia="zh-CN"/>
        </w:rPr>
        <w:t>2024年11月7日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起施行</w:t>
      </w:r>
      <w:r>
        <w:rPr>
          <w:rFonts w:hint="default" w:ascii="Times New Roman" w:hAnsi="Times New Roman" w:eastAsia="楷体" w:cs="Times New Roman"/>
          <w:kern w:val="0"/>
          <w:sz w:val="28"/>
          <w:szCs w:val="28"/>
        </w:rPr>
        <w:t>）</w:t>
      </w: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对</w:t>
      </w:r>
      <w:r>
        <w:rPr>
          <w:rFonts w:hint="eastAsia" w:eastAsia="仿宋"/>
          <w:sz w:val="32"/>
          <w:szCs w:val="32"/>
        </w:rPr>
        <w:t>《郑州商品交易所烧碱期货业务细则》作如下修订：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将第</w:t>
      </w:r>
      <w:r>
        <w:rPr>
          <w:rFonts w:hint="eastAsia" w:eastAsia="仿宋"/>
          <w:sz w:val="32"/>
          <w:szCs w:val="32"/>
        </w:rPr>
        <w:t>四十九</w:t>
      </w:r>
      <w:r>
        <w:rPr>
          <w:rFonts w:eastAsia="仿宋"/>
          <w:sz w:val="32"/>
          <w:szCs w:val="32"/>
        </w:rPr>
        <w:t>条第一款修订为</w:t>
      </w:r>
      <w:r>
        <w:rPr>
          <w:rFonts w:hint="eastAsia" w:eastAsia="仿宋"/>
          <w:sz w:val="32"/>
          <w:szCs w:val="32"/>
        </w:rPr>
        <w:t>：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“烧碱期货合约限仓标准见下表：</w:t>
      </w:r>
    </w:p>
    <w:tbl>
      <w:tblPr>
        <w:tblStyle w:val="5"/>
        <w:tblW w:w="832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  <w:gridCol w:w="50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交易时间段</w:t>
            </w:r>
          </w:p>
        </w:tc>
        <w:tc>
          <w:tcPr>
            <w:tcW w:w="5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6" w:hRule="atLeast"/>
        </w:trPr>
        <w:tc>
          <w:tcPr>
            <w:tcW w:w="33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5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45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4000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5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600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交割月份</w:t>
            </w:r>
          </w:p>
        </w:tc>
        <w:tc>
          <w:tcPr>
            <w:tcW w:w="5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100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”</w:t>
      </w: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</w:p>
    <w:p>
      <w:pPr>
        <w:jc w:val="center"/>
        <w:rPr>
          <w:rFonts w:eastAsia="仿宋"/>
          <w:sz w:val="32"/>
          <w:szCs w:val="32"/>
        </w:rPr>
      </w:pPr>
      <w:r>
        <w:rPr>
          <w:rFonts w:hint="eastAsia"/>
          <w:b/>
          <w:sz w:val="44"/>
          <w:szCs w:val="44"/>
        </w:rPr>
        <w:t>《郑州商品交易所烧碱期货业务细则》修订条款对照</w:t>
      </w:r>
    </w:p>
    <w:p>
      <w:pPr>
        <w:ind w:firstLine="640" w:firstLineChars="200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（删除线部分为删除，下划线加粗部分为修改增加）</w:t>
      </w: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四十九</w:t>
      </w:r>
      <w:r>
        <w:rPr>
          <w:rFonts w:eastAsia="黑体"/>
          <w:sz w:val="32"/>
          <w:szCs w:val="32"/>
        </w:rPr>
        <w:t xml:space="preserve">条 </w:t>
      </w:r>
      <w:r>
        <w:rPr>
          <w:rFonts w:hint="eastAsia" w:eastAsia="仿宋"/>
          <w:sz w:val="32"/>
          <w:szCs w:val="32"/>
        </w:rPr>
        <w:t>烧碱</w:t>
      </w:r>
      <w:r>
        <w:rPr>
          <w:rFonts w:eastAsia="仿宋"/>
          <w:sz w:val="32"/>
          <w:szCs w:val="32"/>
        </w:rPr>
        <w:t>期货合约限仓标准见下表：</w:t>
      </w:r>
    </w:p>
    <w:tbl>
      <w:tblPr>
        <w:tblStyle w:val="5"/>
        <w:tblW w:w="832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  <w:gridCol w:w="50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交易时间段</w:t>
            </w:r>
          </w:p>
        </w:tc>
        <w:tc>
          <w:tcPr>
            <w:tcW w:w="5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6" w:hRule="atLeast"/>
        </w:trPr>
        <w:tc>
          <w:tcPr>
            <w:tcW w:w="33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5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45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3000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  <w:t>4000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5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500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  <w:t>600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交割月份</w:t>
            </w:r>
          </w:p>
        </w:tc>
        <w:tc>
          <w:tcPr>
            <w:tcW w:w="5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50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  <w:t>100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……</w:t>
      </w: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1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D951FEB"/>
    <w:rsid w:val="167396B7"/>
    <w:rsid w:val="17AD7A67"/>
    <w:rsid w:val="1D9EC0E4"/>
    <w:rsid w:val="3998203D"/>
    <w:rsid w:val="3ADF0F94"/>
    <w:rsid w:val="3FFDA71F"/>
    <w:rsid w:val="4D4B96AF"/>
    <w:rsid w:val="4EFFA964"/>
    <w:rsid w:val="55FDBEAF"/>
    <w:rsid w:val="57E57D60"/>
    <w:rsid w:val="5AD3D141"/>
    <w:rsid w:val="5BD34FF2"/>
    <w:rsid w:val="5C7BF285"/>
    <w:rsid w:val="5F6D5D4A"/>
    <w:rsid w:val="67CD5CF4"/>
    <w:rsid w:val="6E1B5024"/>
    <w:rsid w:val="78031D0F"/>
    <w:rsid w:val="79AD2A79"/>
    <w:rsid w:val="7B351E47"/>
    <w:rsid w:val="7D4FA5EE"/>
    <w:rsid w:val="7EFE287D"/>
    <w:rsid w:val="7F6304BB"/>
    <w:rsid w:val="A4EE472D"/>
    <w:rsid w:val="A7DAA132"/>
    <w:rsid w:val="AFAFF778"/>
    <w:rsid w:val="BCFF3EB4"/>
    <w:rsid w:val="DBFD0DA2"/>
    <w:rsid w:val="DDBF5167"/>
    <w:rsid w:val="DDDFAD32"/>
    <w:rsid w:val="DFBF2860"/>
    <w:rsid w:val="F3FFC39C"/>
    <w:rsid w:val="F5FB6EC4"/>
    <w:rsid w:val="F7BB0F44"/>
    <w:rsid w:val="F9B61800"/>
    <w:rsid w:val="FBB6C4B4"/>
    <w:rsid w:val="FBDF6598"/>
    <w:rsid w:val="FDFF9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5"/>
    <w:qFormat/>
    <w:uiPriority w:val="59"/>
    <w:pPr>
      <w:jc w:val="both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2019-09-20T06:10:00Z</dcterms:created>
  <dc:creator>CN=李小鹏/OU=办公室/O=CZCE</dc:creator>
  <cp:lastModifiedBy>张雅杰</cp:lastModifiedBy>
  <dcterms:modified xsi:type="dcterms:W3CDTF">2024-11-04T15:34:25Z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1A74164DAFE84797BDB2CC6CAEE4BCD0</vt:lpwstr>
  </property>
</Properties>
</file>